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950DBA" w14:textId="5CF7964D" w:rsidR="00C0134F" w:rsidRPr="00BC6FBB" w:rsidRDefault="0003257C" w:rsidP="003E5930">
      <w:pPr>
        <w:pStyle w:val="EYCoverSubTitle"/>
        <w:spacing w:line="276" w:lineRule="auto"/>
        <w:rPr>
          <w:sz w:val="18"/>
          <w:szCs w:val="18"/>
          <w:lang w:val="pl-PL"/>
        </w:rPr>
      </w:pPr>
      <w:bookmarkStart w:id="0" w:name="_Toc267648398"/>
      <w:r w:rsidRPr="000F0C40">
        <w:rPr>
          <w:noProof/>
          <w:sz w:val="18"/>
          <w:szCs w:val="18"/>
          <w:lang w:val="pl-PL" w:eastAsia="pl-PL"/>
        </w:rPr>
        <w:drawing>
          <wp:anchor distT="0" distB="0" distL="114300" distR="114300" simplePos="0" relativeHeight="251673600" behindDoc="1" locked="0" layoutInCell="1" allowOverlap="1" wp14:anchorId="0DC6987A" wp14:editId="4AC2BC71">
            <wp:simplePos x="0" y="0"/>
            <wp:positionH relativeFrom="column">
              <wp:posOffset>2590800</wp:posOffset>
            </wp:positionH>
            <wp:positionV relativeFrom="paragraph">
              <wp:posOffset>8091170</wp:posOffset>
            </wp:positionV>
            <wp:extent cx="1435100" cy="635635"/>
            <wp:effectExtent l="0" t="0" r="0" b="0"/>
            <wp:wrapTight wrapText="bothSides">
              <wp:wrapPolygon edited="0">
                <wp:start x="0" y="0"/>
                <wp:lineTo x="0" y="20715"/>
                <wp:lineTo x="21218" y="20715"/>
                <wp:lineTo x="21218" y="0"/>
                <wp:lineTo x="0" y="0"/>
              </wp:wrapPolygon>
            </wp:wrapTight>
            <wp:docPr id="30" name="Picture 30" descr="C:\Users\agnieszka.zyga\Desktop\ibs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gnieszka.zyga\Desktop\ibs logo.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35100" cy="6356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0C40">
        <w:rPr>
          <w:noProof/>
          <w:sz w:val="18"/>
          <w:szCs w:val="18"/>
          <w:lang w:val="pl-PL" w:eastAsia="pl-PL"/>
        </w:rPr>
        <w:drawing>
          <wp:anchor distT="0" distB="0" distL="114300" distR="114300" simplePos="0" relativeHeight="251672576" behindDoc="0" locked="0" layoutInCell="1" allowOverlap="1" wp14:anchorId="14DA685A" wp14:editId="1AD2E474">
            <wp:simplePos x="0" y="0"/>
            <wp:positionH relativeFrom="column">
              <wp:posOffset>1421602</wp:posOffset>
            </wp:positionH>
            <wp:positionV relativeFrom="paragraph">
              <wp:posOffset>7774940</wp:posOffset>
            </wp:positionV>
            <wp:extent cx="991500" cy="1110401"/>
            <wp:effectExtent l="0" t="0" r="0" b="0"/>
            <wp:wrapSquare wrapText="bothSides"/>
            <wp:docPr id="10"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Logo_EY (1).gif"/>
                    <pic:cNvPicPr/>
                  </pic:nvPicPr>
                  <pic:blipFill>
                    <a:blip r:embed="rId9"/>
                    <a:stretch>
                      <a:fillRect/>
                    </a:stretch>
                  </pic:blipFill>
                  <pic:spPr>
                    <a:xfrm>
                      <a:off x="0" y="0"/>
                      <a:ext cx="991500" cy="1110401"/>
                    </a:xfrm>
                    <a:prstGeom prst="rect">
                      <a:avLst/>
                    </a:prstGeom>
                  </pic:spPr>
                </pic:pic>
              </a:graphicData>
            </a:graphic>
            <wp14:sizeRelH relativeFrom="margin">
              <wp14:pctWidth>0</wp14:pctWidth>
            </wp14:sizeRelH>
            <wp14:sizeRelV relativeFrom="margin">
              <wp14:pctHeight>0</wp14:pctHeight>
            </wp14:sizeRelV>
          </wp:anchor>
        </w:drawing>
      </w:r>
      <w:r w:rsidR="00701E73" w:rsidRPr="000F0C40">
        <w:rPr>
          <w:noProof/>
          <w:sz w:val="18"/>
          <w:szCs w:val="18"/>
          <w:highlight w:val="yellow"/>
          <w:lang w:val="pl-PL" w:eastAsia="pl-PL"/>
        </w:rPr>
        <w:drawing>
          <wp:anchor distT="0" distB="0" distL="114300" distR="114300" simplePos="0" relativeHeight="251654144" behindDoc="0" locked="1" layoutInCell="1" allowOverlap="1" wp14:anchorId="7713ED60" wp14:editId="7403CDB1">
            <wp:simplePos x="0" y="0"/>
            <wp:positionH relativeFrom="page">
              <wp:posOffset>-33655</wp:posOffset>
            </wp:positionH>
            <wp:positionV relativeFrom="page">
              <wp:posOffset>4907280</wp:posOffset>
            </wp:positionV>
            <wp:extent cx="7644130" cy="278447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em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644130" cy="2784475"/>
                    </a:xfrm>
                    <a:prstGeom prst="rect">
                      <a:avLst/>
                    </a:prstGeom>
                  </pic:spPr>
                </pic:pic>
              </a:graphicData>
            </a:graphic>
          </wp:anchor>
        </w:drawing>
      </w:r>
      <w:r w:rsidR="00DC7A4C" w:rsidRPr="000F0C40">
        <w:rPr>
          <w:noProof/>
          <w:sz w:val="18"/>
          <w:szCs w:val="18"/>
          <w:lang w:val="pl-PL" w:eastAsia="pl-PL"/>
        </w:rPr>
        <mc:AlternateContent>
          <mc:Choice Requires="wps">
            <w:drawing>
              <wp:anchor distT="0" distB="0" distL="114300" distR="114300" simplePos="0" relativeHeight="251656192" behindDoc="0" locked="1" layoutInCell="1" allowOverlap="1" wp14:anchorId="21919AB8" wp14:editId="3DE3F6DD">
                <wp:simplePos x="0" y="0"/>
                <wp:positionH relativeFrom="page">
                  <wp:posOffset>1108710</wp:posOffset>
                </wp:positionH>
                <wp:positionV relativeFrom="page">
                  <wp:posOffset>3009900</wp:posOffset>
                </wp:positionV>
                <wp:extent cx="5876925" cy="4581525"/>
                <wp:effectExtent l="0" t="0" r="9525" b="952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925" cy="458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D82080" w14:textId="5F2C5CBF" w:rsidR="00BC6FBB" w:rsidRPr="004E20B4" w:rsidRDefault="00BC6FBB" w:rsidP="00DC7A4C">
                            <w:pPr>
                              <w:pStyle w:val="EYCoverTitle"/>
                              <w:spacing w:line="240" w:lineRule="auto"/>
                              <w:rPr>
                                <w:rFonts w:cs="Arial"/>
                                <w:b/>
                                <w:sz w:val="32"/>
                                <w:szCs w:val="32"/>
                                <w:lang w:val="pl-PL"/>
                              </w:rPr>
                            </w:pPr>
                            <w:r w:rsidRPr="00DA57F1">
                              <w:rPr>
                                <w:rFonts w:ascii="Arial" w:hAnsi="Arial" w:cs="Arial"/>
                                <w:b/>
                                <w:color w:val="000000" w:themeColor="text1"/>
                                <w:sz w:val="32"/>
                                <w:szCs w:val="32"/>
                                <w:lang w:val="pl-PL"/>
                              </w:rPr>
                              <w:t>Wsparcie techni</w:t>
                            </w:r>
                            <w:r>
                              <w:rPr>
                                <w:rFonts w:ascii="Arial" w:hAnsi="Arial" w:cs="Arial"/>
                                <w:b/>
                                <w:color w:val="000000" w:themeColor="text1"/>
                                <w:sz w:val="32"/>
                                <w:szCs w:val="32"/>
                                <w:lang w:val="pl-PL"/>
                              </w:rPr>
                              <w:t xml:space="preserve">czne zdefiniowania, mierzenia i </w:t>
                            </w:r>
                            <w:r w:rsidRPr="00DA57F1">
                              <w:rPr>
                                <w:rFonts w:ascii="Arial" w:hAnsi="Arial" w:cs="Arial"/>
                                <w:b/>
                                <w:color w:val="000000" w:themeColor="text1"/>
                                <w:sz w:val="32"/>
                                <w:szCs w:val="32"/>
                                <w:lang w:val="pl-PL"/>
                              </w:rPr>
                              <w:t>monitorowania ubóstwa energetycznego w Polsce</w:t>
                            </w:r>
                          </w:p>
                          <w:p w14:paraId="6963C7A8" w14:textId="09C6F20B" w:rsidR="00BC6FBB" w:rsidRPr="00961B46" w:rsidRDefault="00BC6FBB" w:rsidP="00DC7A4C">
                            <w:pPr>
                              <w:pStyle w:val="EYCoverTitle"/>
                              <w:rPr>
                                <w:rFonts w:ascii="Arial" w:hAnsi="Arial" w:cs="Arial"/>
                                <w:b/>
                                <w:color w:val="auto"/>
                                <w:sz w:val="24"/>
                                <w:szCs w:val="24"/>
                                <w:lang w:val="pl-PL"/>
                              </w:rPr>
                            </w:pPr>
                            <w:r w:rsidRPr="00DA57F1">
                              <w:rPr>
                                <w:rFonts w:ascii="Arial" w:hAnsi="Arial" w:cs="Arial"/>
                                <w:b/>
                                <w:color w:val="auto"/>
                                <w:sz w:val="24"/>
                                <w:szCs w:val="24"/>
                                <w:lang w:val="pl-PL"/>
                              </w:rPr>
                              <w:t xml:space="preserve">Produkt 3a Rekomendacje definicji </w:t>
                            </w:r>
                            <w:r>
                              <w:rPr>
                                <w:rFonts w:ascii="Arial" w:hAnsi="Arial" w:cs="Arial"/>
                                <w:b/>
                                <w:color w:val="auto"/>
                                <w:sz w:val="24"/>
                                <w:szCs w:val="24"/>
                                <w:lang w:val="pl-PL"/>
                              </w:rPr>
                              <w:t xml:space="preserve">i </w:t>
                            </w:r>
                            <w:r w:rsidRPr="00DA57F1">
                              <w:rPr>
                                <w:rFonts w:ascii="Arial" w:hAnsi="Arial" w:cs="Arial"/>
                                <w:b/>
                                <w:color w:val="auto"/>
                                <w:sz w:val="24"/>
                                <w:szCs w:val="24"/>
                                <w:lang w:val="pl-PL"/>
                              </w:rPr>
                              <w:t>wskaźników ubóstwa energetycznego</w:t>
                            </w:r>
                            <w:r w:rsidR="00A306DE">
                              <w:rPr>
                                <w:rFonts w:ascii="Arial" w:hAnsi="Arial" w:cs="Arial"/>
                                <w:b/>
                                <w:color w:val="auto"/>
                                <w:sz w:val="24"/>
                                <w:szCs w:val="24"/>
                                <w:lang w:val="pl-PL"/>
                              </w:rPr>
                              <w:t xml:space="preserve"> – ostateczna wersja dokumentu</w:t>
                            </w:r>
                          </w:p>
                          <w:p w14:paraId="33EF6D38" w14:textId="77777777" w:rsidR="00BC6FBB" w:rsidRPr="00961B46" w:rsidRDefault="00BC6FBB" w:rsidP="00512018">
                            <w:pPr>
                              <w:pStyle w:val="EYCoverSubTitle"/>
                              <w:rPr>
                                <w:highlight w:val="yellow"/>
                                <w:lang w:val="pl-PL"/>
                              </w:rPr>
                            </w:pPr>
                          </w:p>
                          <w:p w14:paraId="283C9147" w14:textId="39FE1BB4" w:rsidR="00BC6FBB" w:rsidRPr="00DA57F1" w:rsidRDefault="00BC6FBB" w:rsidP="004E20B4">
                            <w:pPr>
                              <w:pStyle w:val="EYCoverSubTitle"/>
                              <w:rPr>
                                <w:lang w:val="pl-PL"/>
                              </w:rPr>
                            </w:pPr>
                            <w:r w:rsidRPr="00DA57F1">
                              <w:rPr>
                                <w:lang w:val="pl-PL"/>
                              </w:rPr>
                              <w:t>2</w:t>
                            </w:r>
                            <w:r>
                              <w:rPr>
                                <w:lang w:val="pl-PL"/>
                              </w:rPr>
                              <w:t>0</w:t>
                            </w:r>
                            <w:r w:rsidRPr="00DA57F1">
                              <w:rPr>
                                <w:vertAlign w:val="superscript"/>
                                <w:lang w:val="pl-PL"/>
                              </w:rPr>
                              <w:t xml:space="preserve"> </w:t>
                            </w:r>
                            <w:r>
                              <w:rPr>
                                <w:lang w:val="pl-PL"/>
                              </w:rPr>
                              <w:t>listopada</w:t>
                            </w:r>
                            <w:r w:rsidRPr="00DA57F1">
                              <w:rPr>
                                <w:lang w:val="pl-PL"/>
                              </w:rPr>
                              <w:t xml:space="preserve"> 2018</w:t>
                            </w:r>
                          </w:p>
                          <w:p w14:paraId="033DDA7C" w14:textId="15D85B8B" w:rsidR="00BC6FBB" w:rsidRPr="008521F6" w:rsidRDefault="00BC6FBB" w:rsidP="004E20B4">
                            <w:pPr>
                              <w:pStyle w:val="EYCoverSubTitle"/>
                              <w:rPr>
                                <w:lang w:val="en-GB"/>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1919AB8" id="_x0000_t202" coordsize="21600,21600" o:spt="202" path="m,l,21600r21600,l21600,xe">
                <v:stroke joinstyle="miter"/>
                <v:path gradientshapeok="t" o:connecttype="rect"/>
              </v:shapetype>
              <v:shape id="Text Box 2" o:spid="_x0000_s1026" type="#_x0000_t202" style="position:absolute;margin-left:87.3pt;margin-top:237pt;width:462.75pt;height:360.7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" filled="f" stroked="f">
                <v:textbox inset="0,0,0,0">
                  <w:txbxContent>
                    <w:p w14:paraId="67D82080" w14:textId="5F2C5CBF" w:rsidR="00BC6FBB" w:rsidRPr="004E20B4" w:rsidRDefault="00BC6FBB" w:rsidP="00DC7A4C">
                      <w:pPr>
                        <w:pStyle w:val="EYCoverTitle"/>
                        <w:spacing w:line="240" w:lineRule="auto"/>
                        <w:rPr>
                          <w:rFonts w:cs="Arial"/>
                          <w:b/>
                          <w:sz w:val="32"/>
                          <w:szCs w:val="32"/>
                          <w:lang w:val="pl-PL"/>
                        </w:rPr>
                      </w:pPr>
                      <w:r w:rsidRPr="00DA57F1">
                        <w:rPr>
                          <w:rFonts w:ascii="Arial" w:hAnsi="Arial" w:cs="Arial"/>
                          <w:b/>
                          <w:color w:val="000000" w:themeColor="text1"/>
                          <w:sz w:val="32"/>
                          <w:szCs w:val="32"/>
                          <w:lang w:val="pl-PL"/>
                        </w:rPr>
                        <w:t>Wsparcie techni</w:t>
                      </w:r>
                      <w:r>
                        <w:rPr>
                          <w:rFonts w:ascii="Arial" w:hAnsi="Arial" w:cs="Arial"/>
                          <w:b/>
                          <w:color w:val="000000" w:themeColor="text1"/>
                          <w:sz w:val="32"/>
                          <w:szCs w:val="32"/>
                          <w:lang w:val="pl-PL"/>
                        </w:rPr>
                        <w:t xml:space="preserve">czne zdefiniowania, mierzenia i </w:t>
                      </w:r>
                      <w:r w:rsidRPr="00DA57F1">
                        <w:rPr>
                          <w:rFonts w:ascii="Arial" w:hAnsi="Arial" w:cs="Arial"/>
                          <w:b/>
                          <w:color w:val="000000" w:themeColor="text1"/>
                          <w:sz w:val="32"/>
                          <w:szCs w:val="32"/>
                          <w:lang w:val="pl-PL"/>
                        </w:rPr>
                        <w:t>monitorowania ubóstwa energetycznego w Polsce</w:t>
                      </w:r>
                    </w:p>
                    <w:p w14:paraId="6963C7A8" w14:textId="09C6F20B" w:rsidR="00BC6FBB" w:rsidRPr="00961B46" w:rsidRDefault="00BC6FBB" w:rsidP="00DC7A4C">
                      <w:pPr>
                        <w:pStyle w:val="EYCoverTitle"/>
                        <w:rPr>
                          <w:rFonts w:ascii="Arial" w:hAnsi="Arial" w:cs="Arial"/>
                          <w:b/>
                          <w:color w:val="auto"/>
                          <w:sz w:val="24"/>
                          <w:szCs w:val="24"/>
                          <w:lang w:val="pl-PL"/>
                        </w:rPr>
                      </w:pPr>
                      <w:r w:rsidRPr="00DA57F1">
                        <w:rPr>
                          <w:rFonts w:ascii="Arial" w:hAnsi="Arial" w:cs="Arial"/>
                          <w:b/>
                          <w:color w:val="auto"/>
                          <w:sz w:val="24"/>
                          <w:szCs w:val="24"/>
                          <w:lang w:val="pl-PL"/>
                        </w:rPr>
                        <w:t xml:space="preserve">Produkt 3a Rekomendacje definicji </w:t>
                      </w:r>
                      <w:r>
                        <w:rPr>
                          <w:rFonts w:ascii="Arial" w:hAnsi="Arial" w:cs="Arial"/>
                          <w:b/>
                          <w:color w:val="auto"/>
                          <w:sz w:val="24"/>
                          <w:szCs w:val="24"/>
                          <w:lang w:val="pl-PL"/>
                        </w:rPr>
                        <w:t xml:space="preserve">i </w:t>
                      </w:r>
                      <w:r w:rsidRPr="00DA57F1">
                        <w:rPr>
                          <w:rFonts w:ascii="Arial" w:hAnsi="Arial" w:cs="Arial"/>
                          <w:b/>
                          <w:color w:val="auto"/>
                          <w:sz w:val="24"/>
                          <w:szCs w:val="24"/>
                          <w:lang w:val="pl-PL"/>
                        </w:rPr>
                        <w:t>wskaźników ubóstwa energetycznego</w:t>
                      </w:r>
                      <w:r w:rsidR="00A306DE">
                        <w:rPr>
                          <w:rFonts w:ascii="Arial" w:hAnsi="Arial" w:cs="Arial"/>
                          <w:b/>
                          <w:color w:val="auto"/>
                          <w:sz w:val="24"/>
                          <w:szCs w:val="24"/>
                          <w:lang w:val="pl-PL"/>
                        </w:rPr>
                        <w:t xml:space="preserve"> – ostateczna wersja dokumentu</w:t>
                      </w:r>
                    </w:p>
                    <w:p w14:paraId="33EF6D38" w14:textId="77777777" w:rsidR="00BC6FBB" w:rsidRPr="00961B46" w:rsidRDefault="00BC6FBB" w:rsidP="00512018">
                      <w:pPr>
                        <w:pStyle w:val="EYCoverSubTitle"/>
                        <w:rPr>
                          <w:highlight w:val="yellow"/>
                          <w:lang w:val="pl-PL"/>
                        </w:rPr>
                      </w:pPr>
                    </w:p>
                    <w:p w14:paraId="283C9147" w14:textId="39FE1BB4" w:rsidR="00BC6FBB" w:rsidRPr="00DA57F1" w:rsidRDefault="00BC6FBB" w:rsidP="004E20B4">
                      <w:pPr>
                        <w:pStyle w:val="EYCoverSubTitle"/>
                        <w:rPr>
                          <w:lang w:val="pl-PL"/>
                        </w:rPr>
                      </w:pPr>
                      <w:r w:rsidRPr="00DA57F1">
                        <w:rPr>
                          <w:lang w:val="pl-PL"/>
                        </w:rPr>
                        <w:t>2</w:t>
                      </w:r>
                      <w:r>
                        <w:rPr>
                          <w:lang w:val="pl-PL"/>
                        </w:rPr>
                        <w:t>0</w:t>
                      </w:r>
                      <w:r w:rsidRPr="00DA57F1">
                        <w:rPr>
                          <w:vertAlign w:val="superscript"/>
                          <w:lang w:val="pl-PL"/>
                        </w:rPr>
                        <w:t xml:space="preserve"> </w:t>
                      </w:r>
                      <w:r>
                        <w:rPr>
                          <w:lang w:val="pl-PL"/>
                        </w:rPr>
                        <w:t>listopada</w:t>
                      </w:r>
                      <w:r w:rsidRPr="00DA57F1">
                        <w:rPr>
                          <w:lang w:val="pl-PL"/>
                        </w:rPr>
                        <w:t xml:space="preserve"> 2018</w:t>
                      </w:r>
                    </w:p>
                    <w:p w14:paraId="033DDA7C" w14:textId="15D85B8B" w:rsidR="00BC6FBB" w:rsidRPr="008521F6" w:rsidRDefault="00BC6FBB" w:rsidP="004E20B4">
                      <w:pPr>
                        <w:pStyle w:val="EYCoverSubTitle"/>
                        <w:rPr>
                          <w:lang w:val="en-GB"/>
                        </w:rPr>
                      </w:pPr>
                    </w:p>
                  </w:txbxContent>
                </v:textbox>
                <w10:wrap anchorx="page" anchory="page"/>
                <w10:anchorlock/>
              </v:shape>
            </w:pict>
          </mc:Fallback>
        </mc:AlternateContent>
      </w:r>
      <w:r w:rsidR="004E20B4" w:rsidRPr="004E20B4">
        <w:rPr>
          <w:sz w:val="18"/>
          <w:szCs w:val="18"/>
          <w:lang w:val="pl-PL"/>
        </w:rPr>
        <w:t>Komisja Europejska | Ministerstwo Energii</w:t>
      </w:r>
      <w:r w:rsidR="00C0134F" w:rsidRPr="00BC6FBB">
        <w:rPr>
          <w:sz w:val="18"/>
          <w:szCs w:val="18"/>
          <w:lang w:val="pl-PL"/>
        </w:rPr>
        <w:t xml:space="preserve"> </w:t>
      </w:r>
    </w:p>
    <w:p w14:paraId="70986AC5" w14:textId="403C1B7E" w:rsidR="00DC7A4C" w:rsidRPr="00BC6FBB" w:rsidRDefault="00DC7A4C" w:rsidP="003E5930">
      <w:pPr>
        <w:pStyle w:val="EYCoverSubTitle"/>
        <w:spacing w:line="276" w:lineRule="auto"/>
        <w:rPr>
          <w:sz w:val="18"/>
          <w:szCs w:val="18"/>
          <w:lang w:val="pl-PL"/>
        </w:rPr>
      </w:pPr>
    </w:p>
    <w:bookmarkStart w:id="1" w:name="_Toc528189725" w:displacedByCustomXml="next"/>
    <w:sdt>
      <w:sdtPr>
        <w:rPr>
          <w:bCs/>
          <w:smallCaps/>
          <w:noProof/>
          <w:sz w:val="20"/>
          <w:szCs w:val="20"/>
        </w:rPr>
        <w:id w:val="94837019"/>
        <w:docPartObj>
          <w:docPartGallery w:val="Table of Contents"/>
          <w:docPartUnique/>
        </w:docPartObj>
      </w:sdtPr>
      <w:sdtEndPr>
        <w:rPr>
          <w:sz w:val="18"/>
          <w:szCs w:val="18"/>
        </w:rPr>
      </w:sdtEndPr>
      <w:sdtContent>
        <w:p w14:paraId="2244FD5B" w14:textId="72DE3E53" w:rsidR="006A0E4B" w:rsidRPr="0025560F" w:rsidRDefault="0025560F">
          <w:pPr>
            <w:pStyle w:val="Nagwek11"/>
            <w:numPr>
              <w:ilvl w:val="0"/>
              <w:numId w:val="0"/>
            </w:numPr>
          </w:pPr>
          <w:r w:rsidRPr="0025560F">
            <w:t>Spis treści</w:t>
          </w:r>
          <w:bookmarkEnd w:id="1"/>
        </w:p>
        <w:p w14:paraId="3F331170" w14:textId="77777777" w:rsidR="00B54F9D" w:rsidRDefault="00FF6B94">
          <w:pPr>
            <w:pStyle w:val="Spistreci1"/>
            <w:rPr>
              <w:rFonts w:asciiTheme="minorHAnsi" w:eastAsiaTheme="minorEastAsia" w:hAnsiTheme="minorHAnsi" w:cstheme="minorBidi"/>
              <w:b w:val="0"/>
              <w:bCs w:val="0"/>
              <w:smallCaps w:val="0"/>
              <w:sz w:val="24"/>
              <w:szCs w:val="24"/>
              <w:lang w:eastAsia="pl-PL"/>
            </w:rPr>
          </w:pPr>
          <w:r w:rsidRPr="000F0C40">
            <w:rPr>
              <w:rFonts w:cs="Arial"/>
              <w:b w:val="0"/>
              <w:smallCaps w:val="0"/>
              <w:noProof w:val="0"/>
              <w:sz w:val="18"/>
              <w:szCs w:val="18"/>
              <w:lang w:val="en-GB"/>
            </w:rPr>
            <w:fldChar w:fldCharType="begin"/>
          </w:r>
          <w:r w:rsidRPr="000F0C40">
            <w:rPr>
              <w:rFonts w:cs="Arial"/>
              <w:b w:val="0"/>
              <w:smallCaps w:val="0"/>
              <w:noProof w:val="0"/>
              <w:sz w:val="18"/>
              <w:szCs w:val="18"/>
              <w:lang w:val="en-GB"/>
            </w:rPr>
            <w:instrText xml:space="preserve"> TOC \o "1-2" \h \z \u </w:instrText>
          </w:r>
          <w:r w:rsidRPr="000F0C40">
            <w:rPr>
              <w:rFonts w:cs="Arial"/>
              <w:b w:val="0"/>
              <w:smallCaps w:val="0"/>
              <w:noProof w:val="0"/>
              <w:sz w:val="18"/>
              <w:szCs w:val="18"/>
              <w:lang w:val="en-GB"/>
            </w:rPr>
            <w:fldChar w:fldCharType="separate"/>
          </w:r>
          <w:hyperlink w:anchor="_Toc528189725" w:history="1">
            <w:r w:rsidR="00B54F9D" w:rsidRPr="0058642A">
              <w:rPr>
                <w:rStyle w:val="Hipercze"/>
              </w:rPr>
              <w:t>Spis treści</w:t>
            </w:r>
            <w:r w:rsidR="00B54F9D">
              <w:rPr>
                <w:webHidden/>
              </w:rPr>
              <w:tab/>
            </w:r>
            <w:r w:rsidR="00B54F9D">
              <w:rPr>
                <w:webHidden/>
              </w:rPr>
              <w:fldChar w:fldCharType="begin"/>
            </w:r>
            <w:r w:rsidR="00B54F9D">
              <w:rPr>
                <w:webHidden/>
              </w:rPr>
              <w:instrText xml:space="preserve"> PAGEREF _Toc528189725 \h </w:instrText>
            </w:r>
            <w:r w:rsidR="00B54F9D">
              <w:rPr>
                <w:webHidden/>
              </w:rPr>
            </w:r>
            <w:r w:rsidR="00B54F9D">
              <w:rPr>
                <w:webHidden/>
              </w:rPr>
              <w:fldChar w:fldCharType="separate"/>
            </w:r>
            <w:r w:rsidR="00B54F9D">
              <w:rPr>
                <w:webHidden/>
              </w:rPr>
              <w:t>2</w:t>
            </w:r>
            <w:r w:rsidR="00B54F9D">
              <w:rPr>
                <w:webHidden/>
              </w:rPr>
              <w:fldChar w:fldCharType="end"/>
            </w:r>
          </w:hyperlink>
        </w:p>
        <w:p w14:paraId="2530BBBF" w14:textId="77777777" w:rsidR="00B54F9D" w:rsidRDefault="00F05586">
          <w:pPr>
            <w:pStyle w:val="Spistreci1"/>
            <w:rPr>
              <w:rFonts w:asciiTheme="minorHAnsi" w:eastAsiaTheme="minorEastAsia" w:hAnsiTheme="minorHAnsi" w:cstheme="minorBidi"/>
              <w:b w:val="0"/>
              <w:bCs w:val="0"/>
              <w:smallCaps w:val="0"/>
              <w:sz w:val="24"/>
              <w:szCs w:val="24"/>
              <w:lang w:eastAsia="pl-PL"/>
            </w:rPr>
          </w:pPr>
          <w:hyperlink w:anchor="_Toc528189726" w:history="1">
            <w:r w:rsidR="00B54F9D" w:rsidRPr="0058642A">
              <w:rPr>
                <w:rStyle w:val="Hipercze"/>
              </w:rPr>
              <w:t>1.</w:t>
            </w:r>
            <w:r w:rsidR="00B54F9D">
              <w:rPr>
                <w:rFonts w:asciiTheme="minorHAnsi" w:eastAsiaTheme="minorEastAsia" w:hAnsiTheme="minorHAnsi" w:cstheme="minorBidi"/>
                <w:b w:val="0"/>
                <w:bCs w:val="0"/>
                <w:smallCaps w:val="0"/>
                <w:sz w:val="24"/>
                <w:szCs w:val="24"/>
                <w:lang w:eastAsia="pl-PL"/>
              </w:rPr>
              <w:tab/>
            </w:r>
            <w:bookmarkStart w:id="2" w:name="_GoBack"/>
            <w:r w:rsidR="00B54F9D" w:rsidRPr="0058642A">
              <w:rPr>
                <w:rStyle w:val="Hipercze"/>
                <w:lang w:eastAsia="pl-PL"/>
              </w:rPr>
              <w:t>Rekomendacja definicji oraz sposobu mierzenia i monitorowania ubóstwa energetycznego</w:t>
            </w:r>
            <w:bookmarkEnd w:id="2"/>
            <w:r w:rsidR="00B54F9D">
              <w:rPr>
                <w:webHidden/>
              </w:rPr>
              <w:tab/>
            </w:r>
            <w:r w:rsidR="00B54F9D">
              <w:rPr>
                <w:webHidden/>
              </w:rPr>
              <w:fldChar w:fldCharType="begin"/>
            </w:r>
            <w:r w:rsidR="00B54F9D">
              <w:rPr>
                <w:webHidden/>
              </w:rPr>
              <w:instrText xml:space="preserve"> PAGEREF _Toc528189726 \h </w:instrText>
            </w:r>
            <w:r w:rsidR="00B54F9D">
              <w:rPr>
                <w:webHidden/>
              </w:rPr>
            </w:r>
            <w:r w:rsidR="00B54F9D">
              <w:rPr>
                <w:webHidden/>
              </w:rPr>
              <w:fldChar w:fldCharType="separate"/>
            </w:r>
            <w:r w:rsidR="00B54F9D">
              <w:rPr>
                <w:webHidden/>
              </w:rPr>
              <w:t>3</w:t>
            </w:r>
            <w:r w:rsidR="00B54F9D">
              <w:rPr>
                <w:webHidden/>
              </w:rPr>
              <w:fldChar w:fldCharType="end"/>
            </w:r>
          </w:hyperlink>
        </w:p>
        <w:p w14:paraId="599F61DB"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27" w:history="1">
            <w:r w:rsidR="00B54F9D" w:rsidRPr="0058642A">
              <w:rPr>
                <w:rStyle w:val="Hipercze"/>
                <w:lang w:eastAsia="pl-PL"/>
              </w:rPr>
              <w:t>1.1</w:t>
            </w:r>
            <w:r w:rsidR="00B54F9D">
              <w:rPr>
                <w:rFonts w:asciiTheme="minorHAnsi" w:eastAsiaTheme="minorEastAsia" w:hAnsiTheme="minorHAnsi" w:cstheme="minorBidi"/>
                <w:smallCaps w:val="0"/>
                <w:sz w:val="24"/>
                <w:szCs w:val="24"/>
                <w:lang w:eastAsia="pl-PL"/>
              </w:rPr>
              <w:tab/>
            </w:r>
            <w:r w:rsidR="00B54F9D" w:rsidRPr="0058642A">
              <w:rPr>
                <w:rStyle w:val="Hipercze"/>
                <w:lang w:eastAsia="pl-PL"/>
              </w:rPr>
              <w:t>Wprowadzenie</w:t>
            </w:r>
            <w:r w:rsidR="00B54F9D">
              <w:rPr>
                <w:webHidden/>
              </w:rPr>
              <w:tab/>
            </w:r>
            <w:r w:rsidR="00B54F9D">
              <w:rPr>
                <w:webHidden/>
              </w:rPr>
              <w:fldChar w:fldCharType="begin"/>
            </w:r>
            <w:r w:rsidR="00B54F9D">
              <w:rPr>
                <w:webHidden/>
              </w:rPr>
              <w:instrText xml:space="preserve"> PAGEREF _Toc528189727 \h </w:instrText>
            </w:r>
            <w:r w:rsidR="00B54F9D">
              <w:rPr>
                <w:webHidden/>
              </w:rPr>
            </w:r>
            <w:r w:rsidR="00B54F9D">
              <w:rPr>
                <w:webHidden/>
              </w:rPr>
              <w:fldChar w:fldCharType="separate"/>
            </w:r>
            <w:r w:rsidR="00B54F9D">
              <w:rPr>
                <w:webHidden/>
              </w:rPr>
              <w:t>3</w:t>
            </w:r>
            <w:r w:rsidR="00B54F9D">
              <w:rPr>
                <w:webHidden/>
              </w:rPr>
              <w:fldChar w:fldCharType="end"/>
            </w:r>
          </w:hyperlink>
        </w:p>
        <w:p w14:paraId="5279F5BC"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28" w:history="1">
            <w:r w:rsidR="00B54F9D" w:rsidRPr="0058642A">
              <w:rPr>
                <w:rStyle w:val="Hipercze"/>
              </w:rPr>
              <w:t>1.2</w:t>
            </w:r>
            <w:r w:rsidR="00B54F9D">
              <w:rPr>
                <w:rFonts w:asciiTheme="minorHAnsi" w:eastAsiaTheme="minorEastAsia" w:hAnsiTheme="minorHAnsi" w:cstheme="minorBidi"/>
                <w:smallCaps w:val="0"/>
                <w:sz w:val="24"/>
                <w:szCs w:val="24"/>
                <w:lang w:eastAsia="pl-PL"/>
              </w:rPr>
              <w:tab/>
            </w:r>
            <w:r w:rsidR="00B54F9D" w:rsidRPr="0058642A">
              <w:rPr>
                <w:rStyle w:val="Hipercze"/>
              </w:rPr>
              <w:t>Struktura dokumentu</w:t>
            </w:r>
            <w:r w:rsidR="00B54F9D">
              <w:rPr>
                <w:webHidden/>
              </w:rPr>
              <w:tab/>
            </w:r>
            <w:r w:rsidR="00B54F9D">
              <w:rPr>
                <w:webHidden/>
              </w:rPr>
              <w:fldChar w:fldCharType="begin"/>
            </w:r>
            <w:r w:rsidR="00B54F9D">
              <w:rPr>
                <w:webHidden/>
              </w:rPr>
              <w:instrText xml:space="preserve"> PAGEREF _Toc528189728 \h </w:instrText>
            </w:r>
            <w:r w:rsidR="00B54F9D">
              <w:rPr>
                <w:webHidden/>
              </w:rPr>
            </w:r>
            <w:r w:rsidR="00B54F9D">
              <w:rPr>
                <w:webHidden/>
              </w:rPr>
              <w:fldChar w:fldCharType="separate"/>
            </w:r>
            <w:r w:rsidR="00B54F9D">
              <w:rPr>
                <w:webHidden/>
              </w:rPr>
              <w:t>3</w:t>
            </w:r>
            <w:r w:rsidR="00B54F9D">
              <w:rPr>
                <w:webHidden/>
              </w:rPr>
              <w:fldChar w:fldCharType="end"/>
            </w:r>
          </w:hyperlink>
        </w:p>
        <w:p w14:paraId="2BD50BB5" w14:textId="77777777" w:rsidR="00B54F9D" w:rsidRDefault="00F05586">
          <w:pPr>
            <w:pStyle w:val="Spistreci1"/>
            <w:rPr>
              <w:rFonts w:asciiTheme="minorHAnsi" w:eastAsiaTheme="minorEastAsia" w:hAnsiTheme="minorHAnsi" w:cstheme="minorBidi"/>
              <w:b w:val="0"/>
              <w:bCs w:val="0"/>
              <w:smallCaps w:val="0"/>
              <w:sz w:val="24"/>
              <w:szCs w:val="24"/>
              <w:lang w:eastAsia="pl-PL"/>
            </w:rPr>
          </w:pPr>
          <w:hyperlink w:anchor="_Toc528189729" w:history="1">
            <w:r w:rsidR="00B54F9D" w:rsidRPr="0058642A">
              <w:rPr>
                <w:rStyle w:val="Hipercze"/>
              </w:rPr>
              <w:t>2.</w:t>
            </w:r>
            <w:r w:rsidR="00B54F9D">
              <w:rPr>
                <w:rFonts w:asciiTheme="minorHAnsi" w:eastAsiaTheme="minorEastAsia" w:hAnsiTheme="minorHAnsi" w:cstheme="minorBidi"/>
                <w:b w:val="0"/>
                <w:bCs w:val="0"/>
                <w:smallCaps w:val="0"/>
                <w:sz w:val="24"/>
                <w:szCs w:val="24"/>
                <w:lang w:eastAsia="pl-PL"/>
              </w:rPr>
              <w:tab/>
            </w:r>
            <w:r w:rsidR="00B54F9D" w:rsidRPr="0058642A">
              <w:rPr>
                <w:rStyle w:val="Hipercze"/>
              </w:rPr>
              <w:t>Porównanie definicji ubóstwa energetycznego</w:t>
            </w:r>
            <w:r w:rsidR="00B54F9D">
              <w:rPr>
                <w:webHidden/>
              </w:rPr>
              <w:tab/>
            </w:r>
            <w:r w:rsidR="00B54F9D">
              <w:rPr>
                <w:webHidden/>
              </w:rPr>
              <w:fldChar w:fldCharType="begin"/>
            </w:r>
            <w:r w:rsidR="00B54F9D">
              <w:rPr>
                <w:webHidden/>
              </w:rPr>
              <w:instrText xml:space="preserve"> PAGEREF _Toc528189729 \h </w:instrText>
            </w:r>
            <w:r w:rsidR="00B54F9D">
              <w:rPr>
                <w:webHidden/>
              </w:rPr>
            </w:r>
            <w:r w:rsidR="00B54F9D">
              <w:rPr>
                <w:webHidden/>
              </w:rPr>
              <w:fldChar w:fldCharType="separate"/>
            </w:r>
            <w:r w:rsidR="00B54F9D">
              <w:rPr>
                <w:webHidden/>
              </w:rPr>
              <w:t>4</w:t>
            </w:r>
            <w:r w:rsidR="00B54F9D">
              <w:rPr>
                <w:webHidden/>
              </w:rPr>
              <w:fldChar w:fldCharType="end"/>
            </w:r>
          </w:hyperlink>
        </w:p>
        <w:p w14:paraId="272EF380"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30" w:history="1">
            <w:r w:rsidR="00B54F9D" w:rsidRPr="0058642A">
              <w:rPr>
                <w:rStyle w:val="Hipercze"/>
                <w:lang w:eastAsia="pl-PL"/>
              </w:rPr>
              <w:t>2.1</w:t>
            </w:r>
            <w:r w:rsidR="00B54F9D">
              <w:rPr>
                <w:rFonts w:asciiTheme="minorHAnsi" w:eastAsiaTheme="minorEastAsia" w:hAnsiTheme="minorHAnsi" w:cstheme="minorBidi"/>
                <w:smallCaps w:val="0"/>
                <w:sz w:val="24"/>
                <w:szCs w:val="24"/>
                <w:lang w:eastAsia="pl-PL"/>
              </w:rPr>
              <w:tab/>
            </w:r>
            <w:r w:rsidR="00B54F9D" w:rsidRPr="0058642A">
              <w:rPr>
                <w:rStyle w:val="Hipercze"/>
                <w:lang w:eastAsia="pl-PL"/>
              </w:rPr>
              <w:t>Ubóstwo energetyczne w polityce Unii Europejskiej</w:t>
            </w:r>
            <w:r w:rsidR="00B54F9D">
              <w:rPr>
                <w:webHidden/>
              </w:rPr>
              <w:tab/>
            </w:r>
            <w:r w:rsidR="00B54F9D">
              <w:rPr>
                <w:webHidden/>
              </w:rPr>
              <w:fldChar w:fldCharType="begin"/>
            </w:r>
            <w:r w:rsidR="00B54F9D">
              <w:rPr>
                <w:webHidden/>
              </w:rPr>
              <w:instrText xml:space="preserve"> PAGEREF _Toc528189730 \h </w:instrText>
            </w:r>
            <w:r w:rsidR="00B54F9D">
              <w:rPr>
                <w:webHidden/>
              </w:rPr>
            </w:r>
            <w:r w:rsidR="00B54F9D">
              <w:rPr>
                <w:webHidden/>
              </w:rPr>
              <w:fldChar w:fldCharType="separate"/>
            </w:r>
            <w:r w:rsidR="00B54F9D">
              <w:rPr>
                <w:webHidden/>
              </w:rPr>
              <w:t>4</w:t>
            </w:r>
            <w:r w:rsidR="00B54F9D">
              <w:rPr>
                <w:webHidden/>
              </w:rPr>
              <w:fldChar w:fldCharType="end"/>
            </w:r>
          </w:hyperlink>
        </w:p>
        <w:p w14:paraId="4F4039AF"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31" w:history="1">
            <w:r w:rsidR="00B54F9D" w:rsidRPr="0058642A">
              <w:rPr>
                <w:rStyle w:val="Hipercze"/>
              </w:rPr>
              <w:t>2.2</w:t>
            </w:r>
            <w:r w:rsidR="00B54F9D">
              <w:rPr>
                <w:rFonts w:asciiTheme="minorHAnsi" w:eastAsiaTheme="minorEastAsia" w:hAnsiTheme="minorHAnsi" w:cstheme="minorBidi"/>
                <w:smallCaps w:val="0"/>
                <w:sz w:val="24"/>
                <w:szCs w:val="24"/>
                <w:lang w:eastAsia="pl-PL"/>
              </w:rPr>
              <w:tab/>
            </w:r>
            <w:r w:rsidR="00B54F9D" w:rsidRPr="0058642A">
              <w:rPr>
                <w:rStyle w:val="Hipercze"/>
              </w:rPr>
              <w:t>Porównanie definicji ubóstwa energetycznego w krajach UE</w:t>
            </w:r>
            <w:r w:rsidR="00B54F9D">
              <w:rPr>
                <w:webHidden/>
              </w:rPr>
              <w:tab/>
            </w:r>
            <w:r w:rsidR="00B54F9D">
              <w:rPr>
                <w:webHidden/>
              </w:rPr>
              <w:fldChar w:fldCharType="begin"/>
            </w:r>
            <w:r w:rsidR="00B54F9D">
              <w:rPr>
                <w:webHidden/>
              </w:rPr>
              <w:instrText xml:space="preserve"> PAGEREF _Toc528189731 \h </w:instrText>
            </w:r>
            <w:r w:rsidR="00B54F9D">
              <w:rPr>
                <w:webHidden/>
              </w:rPr>
            </w:r>
            <w:r w:rsidR="00B54F9D">
              <w:rPr>
                <w:webHidden/>
              </w:rPr>
              <w:fldChar w:fldCharType="separate"/>
            </w:r>
            <w:r w:rsidR="00B54F9D">
              <w:rPr>
                <w:webHidden/>
              </w:rPr>
              <w:t>4</w:t>
            </w:r>
            <w:r w:rsidR="00B54F9D">
              <w:rPr>
                <w:webHidden/>
              </w:rPr>
              <w:fldChar w:fldCharType="end"/>
            </w:r>
          </w:hyperlink>
        </w:p>
        <w:p w14:paraId="6DF1D3A6" w14:textId="77777777" w:rsidR="00B54F9D" w:rsidRDefault="00F05586">
          <w:pPr>
            <w:pStyle w:val="Spistreci1"/>
            <w:rPr>
              <w:rFonts w:asciiTheme="minorHAnsi" w:eastAsiaTheme="minorEastAsia" w:hAnsiTheme="minorHAnsi" w:cstheme="minorBidi"/>
              <w:b w:val="0"/>
              <w:bCs w:val="0"/>
              <w:smallCaps w:val="0"/>
              <w:sz w:val="24"/>
              <w:szCs w:val="24"/>
              <w:lang w:eastAsia="pl-PL"/>
            </w:rPr>
          </w:pPr>
          <w:hyperlink w:anchor="_Toc528189732" w:history="1">
            <w:r w:rsidR="00B54F9D" w:rsidRPr="0058642A">
              <w:rPr>
                <w:rStyle w:val="Hipercze"/>
              </w:rPr>
              <w:t>3.</w:t>
            </w:r>
            <w:r w:rsidR="00B54F9D">
              <w:rPr>
                <w:rFonts w:asciiTheme="minorHAnsi" w:eastAsiaTheme="minorEastAsia" w:hAnsiTheme="minorHAnsi" w:cstheme="minorBidi"/>
                <w:b w:val="0"/>
                <w:bCs w:val="0"/>
                <w:smallCaps w:val="0"/>
                <w:sz w:val="24"/>
                <w:szCs w:val="24"/>
                <w:lang w:eastAsia="pl-PL"/>
              </w:rPr>
              <w:tab/>
            </w:r>
            <w:r w:rsidR="00B54F9D" w:rsidRPr="0058642A">
              <w:rPr>
                <w:rStyle w:val="Hipercze"/>
              </w:rPr>
              <w:t>Wybór definicji ubóstwa energetycznego</w:t>
            </w:r>
            <w:r w:rsidR="00B54F9D">
              <w:rPr>
                <w:webHidden/>
              </w:rPr>
              <w:tab/>
            </w:r>
            <w:r w:rsidR="00B54F9D">
              <w:rPr>
                <w:webHidden/>
              </w:rPr>
              <w:fldChar w:fldCharType="begin"/>
            </w:r>
            <w:r w:rsidR="00B54F9D">
              <w:rPr>
                <w:webHidden/>
              </w:rPr>
              <w:instrText xml:space="preserve"> PAGEREF _Toc528189732 \h </w:instrText>
            </w:r>
            <w:r w:rsidR="00B54F9D">
              <w:rPr>
                <w:webHidden/>
              </w:rPr>
            </w:r>
            <w:r w:rsidR="00B54F9D">
              <w:rPr>
                <w:webHidden/>
              </w:rPr>
              <w:fldChar w:fldCharType="separate"/>
            </w:r>
            <w:r w:rsidR="00B54F9D">
              <w:rPr>
                <w:webHidden/>
              </w:rPr>
              <w:t>7</w:t>
            </w:r>
            <w:r w:rsidR="00B54F9D">
              <w:rPr>
                <w:webHidden/>
              </w:rPr>
              <w:fldChar w:fldCharType="end"/>
            </w:r>
          </w:hyperlink>
        </w:p>
        <w:p w14:paraId="715188C7"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33" w:history="1">
            <w:r w:rsidR="00B54F9D" w:rsidRPr="0058642A">
              <w:rPr>
                <w:rStyle w:val="Hipercze"/>
              </w:rPr>
              <w:t>3.1</w:t>
            </w:r>
            <w:r w:rsidR="00B54F9D">
              <w:rPr>
                <w:rFonts w:asciiTheme="minorHAnsi" w:eastAsiaTheme="minorEastAsia" w:hAnsiTheme="minorHAnsi" w:cstheme="minorBidi"/>
                <w:smallCaps w:val="0"/>
                <w:sz w:val="24"/>
                <w:szCs w:val="24"/>
                <w:lang w:eastAsia="pl-PL"/>
              </w:rPr>
              <w:tab/>
            </w:r>
            <w:r w:rsidR="00B54F9D" w:rsidRPr="0058642A">
              <w:rPr>
                <w:rStyle w:val="Hipercze"/>
              </w:rPr>
              <w:t>Ogólna definicja</w:t>
            </w:r>
            <w:r w:rsidR="00B54F9D">
              <w:rPr>
                <w:webHidden/>
              </w:rPr>
              <w:tab/>
            </w:r>
            <w:r w:rsidR="00B54F9D">
              <w:rPr>
                <w:webHidden/>
              </w:rPr>
              <w:fldChar w:fldCharType="begin"/>
            </w:r>
            <w:r w:rsidR="00B54F9D">
              <w:rPr>
                <w:webHidden/>
              </w:rPr>
              <w:instrText xml:space="preserve"> PAGEREF _Toc528189733 \h </w:instrText>
            </w:r>
            <w:r w:rsidR="00B54F9D">
              <w:rPr>
                <w:webHidden/>
              </w:rPr>
            </w:r>
            <w:r w:rsidR="00B54F9D">
              <w:rPr>
                <w:webHidden/>
              </w:rPr>
              <w:fldChar w:fldCharType="separate"/>
            </w:r>
            <w:r w:rsidR="00B54F9D">
              <w:rPr>
                <w:webHidden/>
              </w:rPr>
              <w:t>7</w:t>
            </w:r>
            <w:r w:rsidR="00B54F9D">
              <w:rPr>
                <w:webHidden/>
              </w:rPr>
              <w:fldChar w:fldCharType="end"/>
            </w:r>
          </w:hyperlink>
        </w:p>
        <w:p w14:paraId="5FF935B3"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34" w:history="1">
            <w:r w:rsidR="00B54F9D" w:rsidRPr="0058642A">
              <w:rPr>
                <w:rStyle w:val="Hipercze"/>
              </w:rPr>
              <w:t>3.2</w:t>
            </w:r>
            <w:r w:rsidR="00B54F9D">
              <w:rPr>
                <w:rFonts w:asciiTheme="minorHAnsi" w:eastAsiaTheme="minorEastAsia" w:hAnsiTheme="minorHAnsi" w:cstheme="minorBidi"/>
                <w:smallCaps w:val="0"/>
                <w:sz w:val="24"/>
                <w:szCs w:val="24"/>
                <w:lang w:eastAsia="pl-PL"/>
              </w:rPr>
              <w:tab/>
            </w:r>
            <w:r w:rsidR="00B54F9D" w:rsidRPr="0058642A">
              <w:rPr>
                <w:rStyle w:val="Hipercze"/>
              </w:rPr>
              <w:t>Szczegółowa definicja</w:t>
            </w:r>
            <w:r w:rsidR="00B54F9D">
              <w:rPr>
                <w:webHidden/>
              </w:rPr>
              <w:tab/>
            </w:r>
            <w:r w:rsidR="00B54F9D">
              <w:rPr>
                <w:webHidden/>
              </w:rPr>
              <w:fldChar w:fldCharType="begin"/>
            </w:r>
            <w:r w:rsidR="00B54F9D">
              <w:rPr>
                <w:webHidden/>
              </w:rPr>
              <w:instrText xml:space="preserve"> PAGEREF _Toc528189734 \h </w:instrText>
            </w:r>
            <w:r w:rsidR="00B54F9D">
              <w:rPr>
                <w:webHidden/>
              </w:rPr>
            </w:r>
            <w:r w:rsidR="00B54F9D">
              <w:rPr>
                <w:webHidden/>
              </w:rPr>
              <w:fldChar w:fldCharType="separate"/>
            </w:r>
            <w:r w:rsidR="00B54F9D">
              <w:rPr>
                <w:webHidden/>
              </w:rPr>
              <w:t>8</w:t>
            </w:r>
            <w:r w:rsidR="00B54F9D">
              <w:rPr>
                <w:webHidden/>
              </w:rPr>
              <w:fldChar w:fldCharType="end"/>
            </w:r>
          </w:hyperlink>
        </w:p>
        <w:p w14:paraId="768DF428"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35" w:history="1">
            <w:r w:rsidR="00B54F9D" w:rsidRPr="0058642A">
              <w:rPr>
                <w:rStyle w:val="Hipercze"/>
              </w:rPr>
              <w:t>3.3</w:t>
            </w:r>
            <w:r w:rsidR="00B54F9D">
              <w:rPr>
                <w:rFonts w:asciiTheme="minorHAnsi" w:eastAsiaTheme="minorEastAsia" w:hAnsiTheme="minorHAnsi" w:cstheme="minorBidi"/>
                <w:smallCaps w:val="0"/>
                <w:sz w:val="24"/>
                <w:szCs w:val="24"/>
                <w:lang w:eastAsia="pl-PL"/>
              </w:rPr>
              <w:tab/>
            </w:r>
            <w:r w:rsidR="00B54F9D" w:rsidRPr="0058642A">
              <w:rPr>
                <w:rStyle w:val="Hipercze"/>
              </w:rPr>
              <w:t>Rekomendacje</w:t>
            </w:r>
            <w:r w:rsidR="00B54F9D">
              <w:rPr>
                <w:webHidden/>
              </w:rPr>
              <w:tab/>
            </w:r>
            <w:r w:rsidR="00B54F9D">
              <w:rPr>
                <w:webHidden/>
              </w:rPr>
              <w:fldChar w:fldCharType="begin"/>
            </w:r>
            <w:r w:rsidR="00B54F9D">
              <w:rPr>
                <w:webHidden/>
              </w:rPr>
              <w:instrText xml:space="preserve"> PAGEREF _Toc528189735 \h </w:instrText>
            </w:r>
            <w:r w:rsidR="00B54F9D">
              <w:rPr>
                <w:webHidden/>
              </w:rPr>
            </w:r>
            <w:r w:rsidR="00B54F9D">
              <w:rPr>
                <w:webHidden/>
              </w:rPr>
              <w:fldChar w:fldCharType="separate"/>
            </w:r>
            <w:r w:rsidR="00B54F9D">
              <w:rPr>
                <w:webHidden/>
              </w:rPr>
              <w:t>8</w:t>
            </w:r>
            <w:r w:rsidR="00B54F9D">
              <w:rPr>
                <w:webHidden/>
              </w:rPr>
              <w:fldChar w:fldCharType="end"/>
            </w:r>
          </w:hyperlink>
        </w:p>
        <w:p w14:paraId="3EDCA475"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36" w:history="1">
            <w:r w:rsidR="00B54F9D" w:rsidRPr="0058642A">
              <w:rPr>
                <w:rStyle w:val="Hipercze"/>
              </w:rPr>
              <w:t>3.4</w:t>
            </w:r>
            <w:r w:rsidR="00B54F9D">
              <w:rPr>
                <w:rFonts w:asciiTheme="minorHAnsi" w:eastAsiaTheme="minorEastAsia" w:hAnsiTheme="minorHAnsi" w:cstheme="minorBidi"/>
                <w:smallCaps w:val="0"/>
                <w:sz w:val="24"/>
                <w:szCs w:val="24"/>
                <w:lang w:eastAsia="pl-PL"/>
              </w:rPr>
              <w:tab/>
            </w:r>
            <w:r w:rsidR="00B54F9D" w:rsidRPr="0058642A">
              <w:rPr>
                <w:rStyle w:val="Hipercze"/>
              </w:rPr>
              <w:t>Wnioski</w:t>
            </w:r>
            <w:r w:rsidR="00B54F9D">
              <w:rPr>
                <w:webHidden/>
              </w:rPr>
              <w:tab/>
            </w:r>
            <w:r w:rsidR="00B54F9D">
              <w:rPr>
                <w:webHidden/>
              </w:rPr>
              <w:fldChar w:fldCharType="begin"/>
            </w:r>
            <w:r w:rsidR="00B54F9D">
              <w:rPr>
                <w:webHidden/>
              </w:rPr>
              <w:instrText xml:space="preserve"> PAGEREF _Toc528189736 \h </w:instrText>
            </w:r>
            <w:r w:rsidR="00B54F9D">
              <w:rPr>
                <w:webHidden/>
              </w:rPr>
            </w:r>
            <w:r w:rsidR="00B54F9D">
              <w:rPr>
                <w:webHidden/>
              </w:rPr>
              <w:fldChar w:fldCharType="separate"/>
            </w:r>
            <w:r w:rsidR="00B54F9D">
              <w:rPr>
                <w:webHidden/>
              </w:rPr>
              <w:t>10</w:t>
            </w:r>
            <w:r w:rsidR="00B54F9D">
              <w:rPr>
                <w:webHidden/>
              </w:rPr>
              <w:fldChar w:fldCharType="end"/>
            </w:r>
          </w:hyperlink>
        </w:p>
        <w:p w14:paraId="319DF525" w14:textId="77777777" w:rsidR="00B54F9D" w:rsidRDefault="00F05586">
          <w:pPr>
            <w:pStyle w:val="Spistreci1"/>
            <w:rPr>
              <w:rFonts w:asciiTheme="minorHAnsi" w:eastAsiaTheme="minorEastAsia" w:hAnsiTheme="minorHAnsi" w:cstheme="minorBidi"/>
              <w:b w:val="0"/>
              <w:bCs w:val="0"/>
              <w:smallCaps w:val="0"/>
              <w:sz w:val="24"/>
              <w:szCs w:val="24"/>
              <w:lang w:eastAsia="pl-PL"/>
            </w:rPr>
          </w:pPr>
          <w:hyperlink w:anchor="_Toc528189737" w:history="1">
            <w:r w:rsidR="00B54F9D" w:rsidRPr="0058642A">
              <w:rPr>
                <w:rStyle w:val="Hipercze"/>
              </w:rPr>
              <w:t>4.</w:t>
            </w:r>
            <w:r w:rsidR="00B54F9D">
              <w:rPr>
                <w:rFonts w:asciiTheme="minorHAnsi" w:eastAsiaTheme="minorEastAsia" w:hAnsiTheme="minorHAnsi" w:cstheme="minorBidi"/>
                <w:b w:val="0"/>
                <w:bCs w:val="0"/>
                <w:smallCaps w:val="0"/>
                <w:sz w:val="24"/>
                <w:szCs w:val="24"/>
                <w:lang w:eastAsia="pl-PL"/>
              </w:rPr>
              <w:tab/>
            </w:r>
            <w:r w:rsidR="00B54F9D" w:rsidRPr="0058642A">
              <w:rPr>
                <w:rStyle w:val="Hipercze"/>
              </w:rPr>
              <w:t>Zastosowanie wskaźników najwyższej jakości</w:t>
            </w:r>
            <w:r w:rsidR="00B54F9D">
              <w:rPr>
                <w:webHidden/>
              </w:rPr>
              <w:tab/>
            </w:r>
            <w:r w:rsidR="00B54F9D">
              <w:rPr>
                <w:webHidden/>
              </w:rPr>
              <w:fldChar w:fldCharType="begin"/>
            </w:r>
            <w:r w:rsidR="00B54F9D">
              <w:rPr>
                <w:webHidden/>
              </w:rPr>
              <w:instrText xml:space="preserve"> PAGEREF _Toc528189737 \h </w:instrText>
            </w:r>
            <w:r w:rsidR="00B54F9D">
              <w:rPr>
                <w:webHidden/>
              </w:rPr>
            </w:r>
            <w:r w:rsidR="00B54F9D">
              <w:rPr>
                <w:webHidden/>
              </w:rPr>
              <w:fldChar w:fldCharType="separate"/>
            </w:r>
            <w:r w:rsidR="00B54F9D">
              <w:rPr>
                <w:webHidden/>
              </w:rPr>
              <w:t>11</w:t>
            </w:r>
            <w:r w:rsidR="00B54F9D">
              <w:rPr>
                <w:webHidden/>
              </w:rPr>
              <w:fldChar w:fldCharType="end"/>
            </w:r>
          </w:hyperlink>
        </w:p>
        <w:p w14:paraId="13D261B6"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38" w:history="1">
            <w:r w:rsidR="00B54F9D" w:rsidRPr="0058642A">
              <w:rPr>
                <w:rStyle w:val="Hipercze"/>
                <w:lang w:eastAsia="pl-PL"/>
              </w:rPr>
              <w:t>4.1</w:t>
            </w:r>
            <w:r w:rsidR="00B54F9D">
              <w:rPr>
                <w:rFonts w:asciiTheme="minorHAnsi" w:eastAsiaTheme="minorEastAsia" w:hAnsiTheme="minorHAnsi" w:cstheme="minorBidi"/>
                <w:smallCaps w:val="0"/>
                <w:sz w:val="24"/>
                <w:szCs w:val="24"/>
                <w:lang w:eastAsia="pl-PL"/>
              </w:rPr>
              <w:tab/>
            </w:r>
            <w:r w:rsidR="00B54F9D" w:rsidRPr="0058642A">
              <w:rPr>
                <w:rStyle w:val="Hipercze"/>
                <w:lang w:eastAsia="pl-PL"/>
              </w:rPr>
              <w:t>Identyfikacja ubóstwa energetycznego z wykorzystaniem grupy wskaźników</w:t>
            </w:r>
            <w:r w:rsidR="00B54F9D">
              <w:rPr>
                <w:webHidden/>
              </w:rPr>
              <w:tab/>
            </w:r>
            <w:r w:rsidR="00B54F9D">
              <w:rPr>
                <w:webHidden/>
              </w:rPr>
              <w:fldChar w:fldCharType="begin"/>
            </w:r>
            <w:r w:rsidR="00B54F9D">
              <w:rPr>
                <w:webHidden/>
              </w:rPr>
              <w:instrText xml:space="preserve"> PAGEREF _Toc528189738 \h </w:instrText>
            </w:r>
            <w:r w:rsidR="00B54F9D">
              <w:rPr>
                <w:webHidden/>
              </w:rPr>
            </w:r>
            <w:r w:rsidR="00B54F9D">
              <w:rPr>
                <w:webHidden/>
              </w:rPr>
              <w:fldChar w:fldCharType="separate"/>
            </w:r>
            <w:r w:rsidR="00B54F9D">
              <w:rPr>
                <w:webHidden/>
              </w:rPr>
              <w:t>11</w:t>
            </w:r>
            <w:r w:rsidR="00B54F9D">
              <w:rPr>
                <w:webHidden/>
              </w:rPr>
              <w:fldChar w:fldCharType="end"/>
            </w:r>
          </w:hyperlink>
        </w:p>
        <w:p w14:paraId="08FB51B8"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39" w:history="1">
            <w:r w:rsidR="00B54F9D" w:rsidRPr="0058642A">
              <w:rPr>
                <w:rStyle w:val="Hipercze"/>
              </w:rPr>
              <w:t>4.2.</w:t>
            </w:r>
            <w:r w:rsidR="00B54F9D">
              <w:rPr>
                <w:rFonts w:asciiTheme="minorHAnsi" w:eastAsiaTheme="minorEastAsia" w:hAnsiTheme="minorHAnsi" w:cstheme="minorBidi"/>
                <w:smallCaps w:val="0"/>
                <w:sz w:val="24"/>
                <w:szCs w:val="24"/>
                <w:lang w:eastAsia="pl-PL"/>
              </w:rPr>
              <w:tab/>
            </w:r>
            <w:r w:rsidR="00B54F9D" w:rsidRPr="0058642A">
              <w:rPr>
                <w:rStyle w:val="Hipercze"/>
              </w:rPr>
              <w:t>Zmiany w grupie wskaźników</w:t>
            </w:r>
            <w:r w:rsidR="00B54F9D">
              <w:rPr>
                <w:webHidden/>
              </w:rPr>
              <w:tab/>
            </w:r>
            <w:r w:rsidR="00B54F9D">
              <w:rPr>
                <w:webHidden/>
              </w:rPr>
              <w:fldChar w:fldCharType="begin"/>
            </w:r>
            <w:r w:rsidR="00B54F9D">
              <w:rPr>
                <w:webHidden/>
              </w:rPr>
              <w:instrText xml:space="preserve"> PAGEREF _Toc528189739 \h </w:instrText>
            </w:r>
            <w:r w:rsidR="00B54F9D">
              <w:rPr>
                <w:webHidden/>
              </w:rPr>
            </w:r>
            <w:r w:rsidR="00B54F9D">
              <w:rPr>
                <w:webHidden/>
              </w:rPr>
              <w:fldChar w:fldCharType="separate"/>
            </w:r>
            <w:r w:rsidR="00B54F9D">
              <w:rPr>
                <w:webHidden/>
              </w:rPr>
              <w:t>17</w:t>
            </w:r>
            <w:r w:rsidR="00B54F9D">
              <w:rPr>
                <w:webHidden/>
              </w:rPr>
              <w:fldChar w:fldCharType="end"/>
            </w:r>
          </w:hyperlink>
        </w:p>
        <w:p w14:paraId="2C7AC813"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40" w:history="1">
            <w:r w:rsidR="00B54F9D" w:rsidRPr="0058642A">
              <w:rPr>
                <w:rStyle w:val="Hipercze"/>
              </w:rPr>
              <w:t>4.3.</w:t>
            </w:r>
            <w:r w:rsidR="00B54F9D">
              <w:rPr>
                <w:rFonts w:asciiTheme="minorHAnsi" w:eastAsiaTheme="minorEastAsia" w:hAnsiTheme="minorHAnsi" w:cstheme="minorBidi"/>
                <w:smallCaps w:val="0"/>
                <w:sz w:val="24"/>
                <w:szCs w:val="24"/>
                <w:lang w:eastAsia="pl-PL"/>
              </w:rPr>
              <w:tab/>
            </w:r>
            <w:r w:rsidR="00B54F9D" w:rsidRPr="0058642A">
              <w:rPr>
                <w:rStyle w:val="Hipercze"/>
              </w:rPr>
              <w:t>Analiza przestrzenna</w:t>
            </w:r>
            <w:r w:rsidR="00B54F9D">
              <w:rPr>
                <w:webHidden/>
              </w:rPr>
              <w:tab/>
            </w:r>
            <w:r w:rsidR="00B54F9D">
              <w:rPr>
                <w:webHidden/>
              </w:rPr>
              <w:fldChar w:fldCharType="begin"/>
            </w:r>
            <w:r w:rsidR="00B54F9D">
              <w:rPr>
                <w:webHidden/>
              </w:rPr>
              <w:instrText xml:space="preserve"> PAGEREF _Toc528189740 \h </w:instrText>
            </w:r>
            <w:r w:rsidR="00B54F9D">
              <w:rPr>
                <w:webHidden/>
              </w:rPr>
            </w:r>
            <w:r w:rsidR="00B54F9D">
              <w:rPr>
                <w:webHidden/>
              </w:rPr>
              <w:fldChar w:fldCharType="separate"/>
            </w:r>
            <w:r w:rsidR="00B54F9D">
              <w:rPr>
                <w:webHidden/>
              </w:rPr>
              <w:t>19</w:t>
            </w:r>
            <w:r w:rsidR="00B54F9D">
              <w:rPr>
                <w:webHidden/>
              </w:rPr>
              <w:fldChar w:fldCharType="end"/>
            </w:r>
          </w:hyperlink>
        </w:p>
        <w:p w14:paraId="7D5A5EA2"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41" w:history="1">
            <w:r w:rsidR="00B54F9D" w:rsidRPr="0058642A">
              <w:rPr>
                <w:rStyle w:val="Hipercze"/>
              </w:rPr>
              <w:t>4.4.</w:t>
            </w:r>
            <w:r w:rsidR="00B54F9D">
              <w:rPr>
                <w:rFonts w:asciiTheme="minorHAnsi" w:eastAsiaTheme="minorEastAsia" w:hAnsiTheme="minorHAnsi" w:cstheme="minorBidi"/>
                <w:smallCaps w:val="0"/>
                <w:sz w:val="24"/>
                <w:szCs w:val="24"/>
                <w:lang w:eastAsia="pl-PL"/>
              </w:rPr>
              <w:tab/>
            </w:r>
            <w:r w:rsidR="00B54F9D" w:rsidRPr="0058642A">
              <w:rPr>
                <w:rStyle w:val="Hipercze"/>
              </w:rPr>
              <w:t>Wyniki regresji logistycznej</w:t>
            </w:r>
            <w:r w:rsidR="00B54F9D">
              <w:rPr>
                <w:webHidden/>
              </w:rPr>
              <w:tab/>
            </w:r>
            <w:r w:rsidR="00B54F9D">
              <w:rPr>
                <w:webHidden/>
              </w:rPr>
              <w:fldChar w:fldCharType="begin"/>
            </w:r>
            <w:r w:rsidR="00B54F9D">
              <w:rPr>
                <w:webHidden/>
              </w:rPr>
              <w:instrText xml:space="preserve"> PAGEREF _Toc528189741 \h </w:instrText>
            </w:r>
            <w:r w:rsidR="00B54F9D">
              <w:rPr>
                <w:webHidden/>
              </w:rPr>
            </w:r>
            <w:r w:rsidR="00B54F9D">
              <w:rPr>
                <w:webHidden/>
              </w:rPr>
              <w:fldChar w:fldCharType="separate"/>
            </w:r>
            <w:r w:rsidR="00B54F9D">
              <w:rPr>
                <w:webHidden/>
              </w:rPr>
              <w:t>25</w:t>
            </w:r>
            <w:r w:rsidR="00B54F9D">
              <w:rPr>
                <w:webHidden/>
              </w:rPr>
              <w:fldChar w:fldCharType="end"/>
            </w:r>
          </w:hyperlink>
        </w:p>
        <w:p w14:paraId="0EED75F9"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42" w:history="1">
            <w:r w:rsidR="00B54F9D" w:rsidRPr="0058642A">
              <w:rPr>
                <w:rStyle w:val="Hipercze"/>
              </w:rPr>
              <w:t>4.5.</w:t>
            </w:r>
            <w:r w:rsidR="00B54F9D">
              <w:rPr>
                <w:rFonts w:asciiTheme="minorHAnsi" w:eastAsiaTheme="minorEastAsia" w:hAnsiTheme="minorHAnsi" w:cstheme="minorBidi"/>
                <w:smallCaps w:val="0"/>
                <w:sz w:val="24"/>
                <w:szCs w:val="24"/>
                <w:lang w:eastAsia="pl-PL"/>
              </w:rPr>
              <w:tab/>
            </w:r>
            <w:r w:rsidR="00B54F9D" w:rsidRPr="0058642A">
              <w:rPr>
                <w:rStyle w:val="Hipercze"/>
              </w:rPr>
              <w:t>Charakterystyka sektora energetycznego w Polsce</w:t>
            </w:r>
            <w:r w:rsidR="00B54F9D">
              <w:rPr>
                <w:webHidden/>
              </w:rPr>
              <w:tab/>
            </w:r>
            <w:r w:rsidR="00B54F9D">
              <w:rPr>
                <w:webHidden/>
              </w:rPr>
              <w:fldChar w:fldCharType="begin"/>
            </w:r>
            <w:r w:rsidR="00B54F9D">
              <w:rPr>
                <w:webHidden/>
              </w:rPr>
              <w:instrText xml:space="preserve"> PAGEREF _Toc528189742 \h </w:instrText>
            </w:r>
            <w:r w:rsidR="00B54F9D">
              <w:rPr>
                <w:webHidden/>
              </w:rPr>
            </w:r>
            <w:r w:rsidR="00B54F9D">
              <w:rPr>
                <w:webHidden/>
              </w:rPr>
              <w:fldChar w:fldCharType="separate"/>
            </w:r>
            <w:r w:rsidR="00B54F9D">
              <w:rPr>
                <w:webHidden/>
              </w:rPr>
              <w:t>28</w:t>
            </w:r>
            <w:r w:rsidR="00B54F9D">
              <w:rPr>
                <w:webHidden/>
              </w:rPr>
              <w:fldChar w:fldCharType="end"/>
            </w:r>
          </w:hyperlink>
        </w:p>
        <w:p w14:paraId="46D39485" w14:textId="77777777" w:rsidR="00B54F9D" w:rsidRDefault="00F05586">
          <w:pPr>
            <w:pStyle w:val="Spistreci1"/>
            <w:rPr>
              <w:rFonts w:asciiTheme="minorHAnsi" w:eastAsiaTheme="minorEastAsia" w:hAnsiTheme="minorHAnsi" w:cstheme="minorBidi"/>
              <w:b w:val="0"/>
              <w:bCs w:val="0"/>
              <w:smallCaps w:val="0"/>
              <w:sz w:val="24"/>
              <w:szCs w:val="24"/>
              <w:lang w:eastAsia="pl-PL"/>
            </w:rPr>
          </w:pPr>
          <w:hyperlink w:anchor="_Toc528189743" w:history="1">
            <w:r w:rsidR="00B54F9D" w:rsidRPr="0058642A">
              <w:rPr>
                <w:rStyle w:val="Hipercze"/>
              </w:rPr>
              <w:t>5.</w:t>
            </w:r>
            <w:r w:rsidR="00B54F9D">
              <w:rPr>
                <w:rFonts w:asciiTheme="minorHAnsi" w:eastAsiaTheme="minorEastAsia" w:hAnsiTheme="minorHAnsi" w:cstheme="minorBidi"/>
                <w:b w:val="0"/>
                <w:bCs w:val="0"/>
                <w:smallCaps w:val="0"/>
                <w:sz w:val="24"/>
                <w:szCs w:val="24"/>
                <w:lang w:eastAsia="pl-PL"/>
              </w:rPr>
              <w:tab/>
            </w:r>
            <w:r w:rsidR="00B54F9D" w:rsidRPr="0058642A">
              <w:rPr>
                <w:rStyle w:val="Hipercze"/>
              </w:rPr>
              <w:t>Konsultacje Produktu 3a</w:t>
            </w:r>
            <w:r w:rsidR="00B54F9D">
              <w:rPr>
                <w:webHidden/>
              </w:rPr>
              <w:tab/>
            </w:r>
            <w:r w:rsidR="00B54F9D">
              <w:rPr>
                <w:webHidden/>
              </w:rPr>
              <w:fldChar w:fldCharType="begin"/>
            </w:r>
            <w:r w:rsidR="00B54F9D">
              <w:rPr>
                <w:webHidden/>
              </w:rPr>
              <w:instrText xml:space="preserve"> PAGEREF _Toc528189743 \h </w:instrText>
            </w:r>
            <w:r w:rsidR="00B54F9D">
              <w:rPr>
                <w:webHidden/>
              </w:rPr>
            </w:r>
            <w:r w:rsidR="00B54F9D">
              <w:rPr>
                <w:webHidden/>
              </w:rPr>
              <w:fldChar w:fldCharType="separate"/>
            </w:r>
            <w:r w:rsidR="00B54F9D">
              <w:rPr>
                <w:webHidden/>
              </w:rPr>
              <w:t>29</w:t>
            </w:r>
            <w:r w:rsidR="00B54F9D">
              <w:rPr>
                <w:webHidden/>
              </w:rPr>
              <w:fldChar w:fldCharType="end"/>
            </w:r>
          </w:hyperlink>
        </w:p>
        <w:p w14:paraId="3DF57B99"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44" w:history="1">
            <w:r w:rsidR="00B54F9D" w:rsidRPr="0058642A">
              <w:rPr>
                <w:rStyle w:val="Hipercze"/>
              </w:rPr>
              <w:t>5.1.</w:t>
            </w:r>
            <w:r w:rsidR="00B54F9D">
              <w:rPr>
                <w:rFonts w:asciiTheme="minorHAnsi" w:eastAsiaTheme="minorEastAsia" w:hAnsiTheme="minorHAnsi" w:cstheme="minorBidi"/>
                <w:smallCaps w:val="0"/>
                <w:sz w:val="24"/>
                <w:szCs w:val="24"/>
                <w:lang w:eastAsia="pl-PL"/>
              </w:rPr>
              <w:tab/>
            </w:r>
            <w:r w:rsidR="00B54F9D" w:rsidRPr="0058642A">
              <w:rPr>
                <w:rStyle w:val="Hipercze"/>
              </w:rPr>
              <w:t>Definicja ubóstwa energetycznego w Polsce</w:t>
            </w:r>
            <w:r w:rsidR="00B54F9D">
              <w:rPr>
                <w:webHidden/>
              </w:rPr>
              <w:tab/>
            </w:r>
            <w:r w:rsidR="00B54F9D">
              <w:rPr>
                <w:webHidden/>
              </w:rPr>
              <w:fldChar w:fldCharType="begin"/>
            </w:r>
            <w:r w:rsidR="00B54F9D">
              <w:rPr>
                <w:webHidden/>
              </w:rPr>
              <w:instrText xml:space="preserve"> PAGEREF _Toc528189744 \h </w:instrText>
            </w:r>
            <w:r w:rsidR="00B54F9D">
              <w:rPr>
                <w:webHidden/>
              </w:rPr>
            </w:r>
            <w:r w:rsidR="00B54F9D">
              <w:rPr>
                <w:webHidden/>
              </w:rPr>
              <w:fldChar w:fldCharType="separate"/>
            </w:r>
            <w:r w:rsidR="00B54F9D">
              <w:rPr>
                <w:webHidden/>
              </w:rPr>
              <w:t>29</w:t>
            </w:r>
            <w:r w:rsidR="00B54F9D">
              <w:rPr>
                <w:webHidden/>
              </w:rPr>
              <w:fldChar w:fldCharType="end"/>
            </w:r>
          </w:hyperlink>
        </w:p>
        <w:p w14:paraId="0D9368CA"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45" w:history="1">
            <w:r w:rsidR="00B54F9D" w:rsidRPr="0058642A">
              <w:rPr>
                <w:rStyle w:val="Hipercze"/>
              </w:rPr>
              <w:t>5.2.</w:t>
            </w:r>
            <w:r w:rsidR="00B54F9D">
              <w:rPr>
                <w:rFonts w:asciiTheme="minorHAnsi" w:eastAsiaTheme="minorEastAsia" w:hAnsiTheme="minorHAnsi" w:cstheme="minorBidi"/>
                <w:smallCaps w:val="0"/>
                <w:sz w:val="24"/>
                <w:szCs w:val="24"/>
                <w:lang w:eastAsia="pl-PL"/>
              </w:rPr>
              <w:tab/>
            </w:r>
            <w:r w:rsidR="00B54F9D" w:rsidRPr="0058642A">
              <w:rPr>
                <w:rStyle w:val="Hipercze"/>
              </w:rPr>
              <w:t>Zmiany w Badaniu Budżetów Gospodarstw Domowych w Polsce w 2018 i 2019 r.</w:t>
            </w:r>
            <w:r w:rsidR="00B54F9D">
              <w:rPr>
                <w:webHidden/>
              </w:rPr>
              <w:tab/>
            </w:r>
            <w:r w:rsidR="00B54F9D">
              <w:rPr>
                <w:webHidden/>
              </w:rPr>
              <w:fldChar w:fldCharType="begin"/>
            </w:r>
            <w:r w:rsidR="00B54F9D">
              <w:rPr>
                <w:webHidden/>
              </w:rPr>
              <w:instrText xml:space="preserve"> PAGEREF _Toc528189745 \h </w:instrText>
            </w:r>
            <w:r w:rsidR="00B54F9D">
              <w:rPr>
                <w:webHidden/>
              </w:rPr>
            </w:r>
            <w:r w:rsidR="00B54F9D">
              <w:rPr>
                <w:webHidden/>
              </w:rPr>
              <w:fldChar w:fldCharType="separate"/>
            </w:r>
            <w:r w:rsidR="00B54F9D">
              <w:rPr>
                <w:webHidden/>
              </w:rPr>
              <w:t>29</w:t>
            </w:r>
            <w:r w:rsidR="00B54F9D">
              <w:rPr>
                <w:webHidden/>
              </w:rPr>
              <w:fldChar w:fldCharType="end"/>
            </w:r>
          </w:hyperlink>
        </w:p>
        <w:p w14:paraId="6B27B671"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46" w:history="1">
            <w:r w:rsidR="00B54F9D" w:rsidRPr="0058642A">
              <w:rPr>
                <w:rStyle w:val="Hipercze"/>
              </w:rPr>
              <w:t>5.3.</w:t>
            </w:r>
            <w:r w:rsidR="00B54F9D">
              <w:rPr>
                <w:rFonts w:asciiTheme="minorHAnsi" w:eastAsiaTheme="minorEastAsia" w:hAnsiTheme="minorHAnsi" w:cstheme="minorBidi"/>
                <w:smallCaps w:val="0"/>
                <w:sz w:val="24"/>
                <w:szCs w:val="24"/>
                <w:lang w:eastAsia="pl-PL"/>
              </w:rPr>
              <w:tab/>
            </w:r>
            <w:r w:rsidR="00B54F9D" w:rsidRPr="0058642A">
              <w:rPr>
                <w:rStyle w:val="Hipercze"/>
              </w:rPr>
              <w:t>Rozwiązanie problemu niedokładności wskaźników opartych na BBGD przez wykorzystanie 3 wskaźników z EU-SILC</w:t>
            </w:r>
            <w:r w:rsidR="00B54F9D">
              <w:rPr>
                <w:webHidden/>
              </w:rPr>
              <w:tab/>
            </w:r>
            <w:r w:rsidR="00B54F9D">
              <w:rPr>
                <w:webHidden/>
              </w:rPr>
              <w:fldChar w:fldCharType="begin"/>
            </w:r>
            <w:r w:rsidR="00B54F9D">
              <w:rPr>
                <w:webHidden/>
              </w:rPr>
              <w:instrText xml:space="preserve"> PAGEREF _Toc528189746 \h </w:instrText>
            </w:r>
            <w:r w:rsidR="00B54F9D">
              <w:rPr>
                <w:webHidden/>
              </w:rPr>
            </w:r>
            <w:r w:rsidR="00B54F9D">
              <w:rPr>
                <w:webHidden/>
              </w:rPr>
              <w:fldChar w:fldCharType="separate"/>
            </w:r>
            <w:r w:rsidR="00B54F9D">
              <w:rPr>
                <w:webHidden/>
              </w:rPr>
              <w:t>29</w:t>
            </w:r>
            <w:r w:rsidR="00B54F9D">
              <w:rPr>
                <w:webHidden/>
              </w:rPr>
              <w:fldChar w:fldCharType="end"/>
            </w:r>
          </w:hyperlink>
        </w:p>
        <w:p w14:paraId="6D8EFB91"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47" w:history="1">
            <w:r w:rsidR="00B54F9D" w:rsidRPr="0058642A">
              <w:rPr>
                <w:rStyle w:val="Hipercze"/>
              </w:rPr>
              <w:t>5.4.</w:t>
            </w:r>
            <w:r w:rsidR="00B54F9D">
              <w:rPr>
                <w:rFonts w:asciiTheme="minorHAnsi" w:eastAsiaTheme="minorEastAsia" w:hAnsiTheme="minorHAnsi" w:cstheme="minorBidi"/>
                <w:smallCaps w:val="0"/>
                <w:sz w:val="24"/>
                <w:szCs w:val="24"/>
                <w:lang w:eastAsia="pl-PL"/>
              </w:rPr>
              <w:tab/>
            </w:r>
            <w:r w:rsidR="00B54F9D" w:rsidRPr="0058642A">
              <w:rPr>
                <w:rStyle w:val="Hipercze"/>
              </w:rPr>
              <w:t>Rekomendacje dotyczące wskaźnika 22% udziału wymaganych wydatków na energię względem dochodu</w:t>
            </w:r>
            <w:r w:rsidR="00B54F9D">
              <w:rPr>
                <w:webHidden/>
              </w:rPr>
              <w:tab/>
            </w:r>
            <w:r w:rsidR="00B54F9D">
              <w:rPr>
                <w:webHidden/>
              </w:rPr>
              <w:fldChar w:fldCharType="begin"/>
            </w:r>
            <w:r w:rsidR="00B54F9D">
              <w:rPr>
                <w:webHidden/>
              </w:rPr>
              <w:instrText xml:space="preserve"> PAGEREF _Toc528189747 \h </w:instrText>
            </w:r>
            <w:r w:rsidR="00B54F9D">
              <w:rPr>
                <w:webHidden/>
              </w:rPr>
            </w:r>
            <w:r w:rsidR="00B54F9D">
              <w:rPr>
                <w:webHidden/>
              </w:rPr>
              <w:fldChar w:fldCharType="separate"/>
            </w:r>
            <w:r w:rsidR="00B54F9D">
              <w:rPr>
                <w:webHidden/>
              </w:rPr>
              <w:t>30</w:t>
            </w:r>
            <w:r w:rsidR="00B54F9D">
              <w:rPr>
                <w:webHidden/>
              </w:rPr>
              <w:fldChar w:fldCharType="end"/>
            </w:r>
          </w:hyperlink>
        </w:p>
        <w:p w14:paraId="2155E6E2"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48" w:history="1">
            <w:r w:rsidR="00B54F9D" w:rsidRPr="0058642A">
              <w:rPr>
                <w:rStyle w:val="Hipercze"/>
              </w:rPr>
              <w:t>5.5.</w:t>
            </w:r>
            <w:r w:rsidR="00B54F9D">
              <w:rPr>
                <w:rFonts w:asciiTheme="minorHAnsi" w:eastAsiaTheme="minorEastAsia" w:hAnsiTheme="minorHAnsi" w:cstheme="minorBidi"/>
                <w:smallCaps w:val="0"/>
                <w:sz w:val="24"/>
                <w:szCs w:val="24"/>
                <w:lang w:eastAsia="pl-PL"/>
              </w:rPr>
              <w:tab/>
            </w:r>
            <w:r w:rsidR="00B54F9D" w:rsidRPr="0058642A">
              <w:rPr>
                <w:rStyle w:val="Hipercze"/>
              </w:rPr>
              <w:t>Podsumowanie rekomendacji i wprowadzonych zmian</w:t>
            </w:r>
            <w:r w:rsidR="00B54F9D">
              <w:rPr>
                <w:webHidden/>
              </w:rPr>
              <w:tab/>
            </w:r>
            <w:r w:rsidR="00B54F9D">
              <w:rPr>
                <w:webHidden/>
              </w:rPr>
              <w:fldChar w:fldCharType="begin"/>
            </w:r>
            <w:r w:rsidR="00B54F9D">
              <w:rPr>
                <w:webHidden/>
              </w:rPr>
              <w:instrText xml:space="preserve"> PAGEREF _Toc528189748 \h </w:instrText>
            </w:r>
            <w:r w:rsidR="00B54F9D">
              <w:rPr>
                <w:webHidden/>
              </w:rPr>
            </w:r>
            <w:r w:rsidR="00B54F9D">
              <w:rPr>
                <w:webHidden/>
              </w:rPr>
              <w:fldChar w:fldCharType="separate"/>
            </w:r>
            <w:r w:rsidR="00B54F9D">
              <w:rPr>
                <w:webHidden/>
              </w:rPr>
              <w:t>30</w:t>
            </w:r>
            <w:r w:rsidR="00B54F9D">
              <w:rPr>
                <w:webHidden/>
              </w:rPr>
              <w:fldChar w:fldCharType="end"/>
            </w:r>
          </w:hyperlink>
        </w:p>
        <w:p w14:paraId="778733A8" w14:textId="77777777" w:rsidR="00B54F9D" w:rsidRDefault="00F05586">
          <w:pPr>
            <w:pStyle w:val="Spistreci1"/>
            <w:rPr>
              <w:rFonts w:asciiTheme="minorHAnsi" w:eastAsiaTheme="minorEastAsia" w:hAnsiTheme="minorHAnsi" w:cstheme="minorBidi"/>
              <w:b w:val="0"/>
              <w:bCs w:val="0"/>
              <w:smallCaps w:val="0"/>
              <w:sz w:val="24"/>
              <w:szCs w:val="24"/>
              <w:lang w:eastAsia="pl-PL"/>
            </w:rPr>
          </w:pPr>
          <w:hyperlink w:anchor="_Toc528189749" w:history="1">
            <w:r w:rsidR="00B54F9D" w:rsidRPr="0058642A">
              <w:rPr>
                <w:rStyle w:val="Hipercze"/>
              </w:rPr>
              <w:t>6.</w:t>
            </w:r>
            <w:r w:rsidR="00B54F9D">
              <w:rPr>
                <w:rFonts w:asciiTheme="minorHAnsi" w:eastAsiaTheme="minorEastAsia" w:hAnsiTheme="minorHAnsi" w:cstheme="minorBidi"/>
                <w:b w:val="0"/>
                <w:bCs w:val="0"/>
                <w:smallCaps w:val="0"/>
                <w:sz w:val="24"/>
                <w:szCs w:val="24"/>
                <w:lang w:eastAsia="pl-PL"/>
              </w:rPr>
              <w:tab/>
            </w:r>
            <w:r w:rsidR="00B54F9D" w:rsidRPr="0058642A">
              <w:rPr>
                <w:rStyle w:val="Hipercze"/>
              </w:rPr>
              <w:t>Wnioski</w:t>
            </w:r>
            <w:r w:rsidR="00B54F9D">
              <w:rPr>
                <w:webHidden/>
              </w:rPr>
              <w:tab/>
            </w:r>
            <w:r w:rsidR="00B54F9D">
              <w:rPr>
                <w:webHidden/>
              </w:rPr>
              <w:fldChar w:fldCharType="begin"/>
            </w:r>
            <w:r w:rsidR="00B54F9D">
              <w:rPr>
                <w:webHidden/>
              </w:rPr>
              <w:instrText xml:space="preserve"> PAGEREF _Toc528189749 \h </w:instrText>
            </w:r>
            <w:r w:rsidR="00B54F9D">
              <w:rPr>
                <w:webHidden/>
              </w:rPr>
            </w:r>
            <w:r w:rsidR="00B54F9D">
              <w:rPr>
                <w:webHidden/>
              </w:rPr>
              <w:fldChar w:fldCharType="separate"/>
            </w:r>
            <w:r w:rsidR="00B54F9D">
              <w:rPr>
                <w:webHidden/>
              </w:rPr>
              <w:t>32</w:t>
            </w:r>
            <w:r w:rsidR="00B54F9D">
              <w:rPr>
                <w:webHidden/>
              </w:rPr>
              <w:fldChar w:fldCharType="end"/>
            </w:r>
          </w:hyperlink>
        </w:p>
        <w:p w14:paraId="18D59FC8"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50" w:history="1">
            <w:r w:rsidR="00B54F9D" w:rsidRPr="0058642A">
              <w:rPr>
                <w:rStyle w:val="Hipercze"/>
                <w:lang w:eastAsia="pl-PL"/>
              </w:rPr>
              <w:t>6.1.</w:t>
            </w:r>
            <w:r w:rsidR="00B54F9D">
              <w:rPr>
                <w:rFonts w:asciiTheme="minorHAnsi" w:eastAsiaTheme="minorEastAsia" w:hAnsiTheme="minorHAnsi" w:cstheme="minorBidi"/>
                <w:smallCaps w:val="0"/>
                <w:sz w:val="24"/>
                <w:szCs w:val="24"/>
                <w:lang w:eastAsia="pl-PL"/>
              </w:rPr>
              <w:tab/>
            </w:r>
            <w:r w:rsidR="00B54F9D" w:rsidRPr="0058642A">
              <w:rPr>
                <w:rStyle w:val="Hipercze"/>
                <w:lang w:eastAsia="pl-PL"/>
              </w:rPr>
              <w:t>Zmiany w zestawie wskaźników ubóstwa energetycznego</w:t>
            </w:r>
            <w:r w:rsidR="00B54F9D">
              <w:rPr>
                <w:webHidden/>
              </w:rPr>
              <w:tab/>
            </w:r>
            <w:r w:rsidR="00B54F9D">
              <w:rPr>
                <w:webHidden/>
              </w:rPr>
              <w:fldChar w:fldCharType="begin"/>
            </w:r>
            <w:r w:rsidR="00B54F9D">
              <w:rPr>
                <w:webHidden/>
              </w:rPr>
              <w:instrText xml:space="preserve"> PAGEREF _Toc528189750 \h </w:instrText>
            </w:r>
            <w:r w:rsidR="00B54F9D">
              <w:rPr>
                <w:webHidden/>
              </w:rPr>
            </w:r>
            <w:r w:rsidR="00B54F9D">
              <w:rPr>
                <w:webHidden/>
              </w:rPr>
              <w:fldChar w:fldCharType="separate"/>
            </w:r>
            <w:r w:rsidR="00B54F9D">
              <w:rPr>
                <w:webHidden/>
              </w:rPr>
              <w:t>32</w:t>
            </w:r>
            <w:r w:rsidR="00B54F9D">
              <w:rPr>
                <w:webHidden/>
              </w:rPr>
              <w:fldChar w:fldCharType="end"/>
            </w:r>
          </w:hyperlink>
        </w:p>
        <w:p w14:paraId="565F76EC"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51" w:history="1">
            <w:r w:rsidR="00B54F9D" w:rsidRPr="0058642A">
              <w:rPr>
                <w:rStyle w:val="Hipercze"/>
                <w:lang w:eastAsia="pl-PL"/>
              </w:rPr>
              <w:t>6.2.</w:t>
            </w:r>
            <w:r w:rsidR="00B54F9D">
              <w:rPr>
                <w:rFonts w:asciiTheme="minorHAnsi" w:eastAsiaTheme="minorEastAsia" w:hAnsiTheme="minorHAnsi" w:cstheme="minorBidi"/>
                <w:smallCaps w:val="0"/>
                <w:sz w:val="24"/>
                <w:szCs w:val="24"/>
                <w:lang w:eastAsia="pl-PL"/>
              </w:rPr>
              <w:tab/>
            </w:r>
            <w:r w:rsidR="00B54F9D" w:rsidRPr="0058642A">
              <w:rPr>
                <w:rStyle w:val="Hipercze"/>
                <w:lang w:eastAsia="pl-PL"/>
              </w:rPr>
              <w:t>Definicja i wskaźniki ubóstwa energetycznego w Polsce</w:t>
            </w:r>
            <w:r w:rsidR="00B54F9D">
              <w:rPr>
                <w:webHidden/>
              </w:rPr>
              <w:tab/>
            </w:r>
            <w:r w:rsidR="00B54F9D">
              <w:rPr>
                <w:webHidden/>
              </w:rPr>
              <w:fldChar w:fldCharType="begin"/>
            </w:r>
            <w:r w:rsidR="00B54F9D">
              <w:rPr>
                <w:webHidden/>
              </w:rPr>
              <w:instrText xml:space="preserve"> PAGEREF _Toc528189751 \h </w:instrText>
            </w:r>
            <w:r w:rsidR="00B54F9D">
              <w:rPr>
                <w:webHidden/>
              </w:rPr>
            </w:r>
            <w:r w:rsidR="00B54F9D">
              <w:rPr>
                <w:webHidden/>
              </w:rPr>
              <w:fldChar w:fldCharType="separate"/>
            </w:r>
            <w:r w:rsidR="00B54F9D">
              <w:rPr>
                <w:webHidden/>
              </w:rPr>
              <w:t>32</w:t>
            </w:r>
            <w:r w:rsidR="00B54F9D">
              <w:rPr>
                <w:webHidden/>
              </w:rPr>
              <w:fldChar w:fldCharType="end"/>
            </w:r>
          </w:hyperlink>
        </w:p>
        <w:p w14:paraId="27622F93" w14:textId="77777777" w:rsidR="00B54F9D" w:rsidRDefault="00F05586">
          <w:pPr>
            <w:pStyle w:val="Spistreci2"/>
            <w:rPr>
              <w:rFonts w:asciiTheme="minorHAnsi" w:eastAsiaTheme="minorEastAsia" w:hAnsiTheme="minorHAnsi" w:cstheme="minorBidi"/>
              <w:smallCaps w:val="0"/>
              <w:sz w:val="24"/>
              <w:szCs w:val="24"/>
              <w:lang w:eastAsia="pl-PL"/>
            </w:rPr>
          </w:pPr>
          <w:hyperlink w:anchor="_Toc528189752" w:history="1">
            <w:r w:rsidR="00B54F9D" w:rsidRPr="0058642A">
              <w:rPr>
                <w:rStyle w:val="Hipercze"/>
              </w:rPr>
              <w:t>6.3.</w:t>
            </w:r>
            <w:r w:rsidR="00B54F9D">
              <w:rPr>
                <w:rFonts w:asciiTheme="minorHAnsi" w:eastAsiaTheme="minorEastAsia" w:hAnsiTheme="minorHAnsi" w:cstheme="minorBidi"/>
                <w:smallCaps w:val="0"/>
                <w:sz w:val="24"/>
                <w:szCs w:val="24"/>
                <w:lang w:eastAsia="pl-PL"/>
              </w:rPr>
              <w:tab/>
            </w:r>
            <w:r w:rsidR="00B54F9D" w:rsidRPr="0058642A">
              <w:rPr>
                <w:rStyle w:val="Hipercze"/>
              </w:rPr>
              <w:t>Dodatkowe rekomendacje</w:t>
            </w:r>
            <w:r w:rsidR="00B54F9D">
              <w:rPr>
                <w:webHidden/>
              </w:rPr>
              <w:tab/>
            </w:r>
            <w:r w:rsidR="00B54F9D">
              <w:rPr>
                <w:webHidden/>
              </w:rPr>
              <w:fldChar w:fldCharType="begin"/>
            </w:r>
            <w:r w:rsidR="00B54F9D">
              <w:rPr>
                <w:webHidden/>
              </w:rPr>
              <w:instrText xml:space="preserve"> PAGEREF _Toc528189752 \h </w:instrText>
            </w:r>
            <w:r w:rsidR="00B54F9D">
              <w:rPr>
                <w:webHidden/>
              </w:rPr>
            </w:r>
            <w:r w:rsidR="00B54F9D">
              <w:rPr>
                <w:webHidden/>
              </w:rPr>
              <w:fldChar w:fldCharType="separate"/>
            </w:r>
            <w:r w:rsidR="00B54F9D">
              <w:rPr>
                <w:webHidden/>
              </w:rPr>
              <w:t>33</w:t>
            </w:r>
            <w:r w:rsidR="00B54F9D">
              <w:rPr>
                <w:webHidden/>
              </w:rPr>
              <w:fldChar w:fldCharType="end"/>
            </w:r>
          </w:hyperlink>
        </w:p>
        <w:p w14:paraId="7CC7ED32" w14:textId="77777777" w:rsidR="00B54F9D" w:rsidRDefault="00F05586">
          <w:pPr>
            <w:pStyle w:val="Spistreci1"/>
            <w:rPr>
              <w:rFonts w:asciiTheme="minorHAnsi" w:eastAsiaTheme="minorEastAsia" w:hAnsiTheme="minorHAnsi" w:cstheme="minorBidi"/>
              <w:b w:val="0"/>
              <w:bCs w:val="0"/>
              <w:smallCaps w:val="0"/>
              <w:sz w:val="24"/>
              <w:szCs w:val="24"/>
              <w:lang w:eastAsia="pl-PL"/>
            </w:rPr>
          </w:pPr>
          <w:hyperlink w:anchor="_Toc528189753" w:history="1">
            <w:r w:rsidR="00B54F9D" w:rsidRPr="0058642A">
              <w:rPr>
                <w:rStyle w:val="Hipercze"/>
              </w:rPr>
              <w:t>7.</w:t>
            </w:r>
            <w:r w:rsidR="00B54F9D">
              <w:rPr>
                <w:rFonts w:asciiTheme="minorHAnsi" w:eastAsiaTheme="minorEastAsia" w:hAnsiTheme="minorHAnsi" w:cstheme="minorBidi"/>
                <w:b w:val="0"/>
                <w:bCs w:val="0"/>
                <w:smallCaps w:val="0"/>
                <w:sz w:val="24"/>
                <w:szCs w:val="24"/>
                <w:lang w:eastAsia="pl-PL"/>
              </w:rPr>
              <w:tab/>
            </w:r>
            <w:r w:rsidR="00B54F9D" w:rsidRPr="0058642A">
              <w:rPr>
                <w:rStyle w:val="Hipercze"/>
              </w:rPr>
              <w:t>Załącznik I: Wskaźniki ubóstwa energetycznego – wyniki dla subpopulacji</w:t>
            </w:r>
            <w:r w:rsidR="00B54F9D">
              <w:rPr>
                <w:webHidden/>
              </w:rPr>
              <w:tab/>
            </w:r>
            <w:r w:rsidR="00B54F9D">
              <w:rPr>
                <w:webHidden/>
              </w:rPr>
              <w:fldChar w:fldCharType="begin"/>
            </w:r>
            <w:r w:rsidR="00B54F9D">
              <w:rPr>
                <w:webHidden/>
              </w:rPr>
              <w:instrText xml:space="preserve"> PAGEREF _Toc528189753 \h </w:instrText>
            </w:r>
            <w:r w:rsidR="00B54F9D">
              <w:rPr>
                <w:webHidden/>
              </w:rPr>
            </w:r>
            <w:r w:rsidR="00B54F9D">
              <w:rPr>
                <w:webHidden/>
              </w:rPr>
              <w:fldChar w:fldCharType="separate"/>
            </w:r>
            <w:r w:rsidR="00B54F9D">
              <w:rPr>
                <w:webHidden/>
              </w:rPr>
              <w:t>34</w:t>
            </w:r>
            <w:r w:rsidR="00B54F9D">
              <w:rPr>
                <w:webHidden/>
              </w:rPr>
              <w:fldChar w:fldCharType="end"/>
            </w:r>
          </w:hyperlink>
        </w:p>
        <w:p w14:paraId="1CE38C5B" w14:textId="77777777" w:rsidR="00B54F9D" w:rsidRDefault="00F05586">
          <w:pPr>
            <w:pStyle w:val="Spistreci1"/>
            <w:rPr>
              <w:rFonts w:asciiTheme="minorHAnsi" w:eastAsiaTheme="minorEastAsia" w:hAnsiTheme="minorHAnsi" w:cstheme="minorBidi"/>
              <w:b w:val="0"/>
              <w:bCs w:val="0"/>
              <w:smallCaps w:val="0"/>
              <w:sz w:val="24"/>
              <w:szCs w:val="24"/>
              <w:lang w:eastAsia="pl-PL"/>
            </w:rPr>
          </w:pPr>
          <w:hyperlink w:anchor="_Toc528189754" w:history="1">
            <w:r w:rsidR="00B54F9D" w:rsidRPr="0058642A">
              <w:rPr>
                <w:rStyle w:val="Hipercze"/>
              </w:rPr>
              <w:t>8.</w:t>
            </w:r>
            <w:r w:rsidR="00B54F9D">
              <w:rPr>
                <w:rFonts w:asciiTheme="minorHAnsi" w:eastAsiaTheme="minorEastAsia" w:hAnsiTheme="minorHAnsi" w:cstheme="minorBidi"/>
                <w:b w:val="0"/>
                <w:bCs w:val="0"/>
                <w:smallCaps w:val="0"/>
                <w:sz w:val="24"/>
                <w:szCs w:val="24"/>
                <w:lang w:eastAsia="pl-PL"/>
              </w:rPr>
              <w:tab/>
            </w:r>
            <w:r w:rsidR="00B54F9D" w:rsidRPr="0058642A">
              <w:rPr>
                <w:rStyle w:val="Hipercze"/>
              </w:rPr>
              <w:t>Załącznik II: Uzupełniająca analiza przestrzenna</w:t>
            </w:r>
            <w:r w:rsidR="00B54F9D">
              <w:rPr>
                <w:webHidden/>
              </w:rPr>
              <w:tab/>
            </w:r>
            <w:r w:rsidR="00B54F9D">
              <w:rPr>
                <w:webHidden/>
              </w:rPr>
              <w:fldChar w:fldCharType="begin"/>
            </w:r>
            <w:r w:rsidR="00B54F9D">
              <w:rPr>
                <w:webHidden/>
              </w:rPr>
              <w:instrText xml:space="preserve"> PAGEREF _Toc528189754 \h </w:instrText>
            </w:r>
            <w:r w:rsidR="00B54F9D">
              <w:rPr>
                <w:webHidden/>
              </w:rPr>
            </w:r>
            <w:r w:rsidR="00B54F9D">
              <w:rPr>
                <w:webHidden/>
              </w:rPr>
              <w:fldChar w:fldCharType="separate"/>
            </w:r>
            <w:r w:rsidR="00B54F9D">
              <w:rPr>
                <w:webHidden/>
              </w:rPr>
              <w:t>38</w:t>
            </w:r>
            <w:r w:rsidR="00B54F9D">
              <w:rPr>
                <w:webHidden/>
              </w:rPr>
              <w:fldChar w:fldCharType="end"/>
            </w:r>
          </w:hyperlink>
        </w:p>
        <w:p w14:paraId="608C35D4" w14:textId="77777777" w:rsidR="00B54F9D" w:rsidRDefault="00F05586">
          <w:pPr>
            <w:pStyle w:val="Spistreci1"/>
            <w:rPr>
              <w:rFonts w:asciiTheme="minorHAnsi" w:eastAsiaTheme="minorEastAsia" w:hAnsiTheme="minorHAnsi" w:cstheme="minorBidi"/>
              <w:b w:val="0"/>
              <w:bCs w:val="0"/>
              <w:smallCaps w:val="0"/>
              <w:sz w:val="24"/>
              <w:szCs w:val="24"/>
              <w:lang w:eastAsia="pl-PL"/>
            </w:rPr>
          </w:pPr>
          <w:hyperlink w:anchor="_Toc528189755" w:history="1">
            <w:r w:rsidR="00B54F9D" w:rsidRPr="0058642A">
              <w:rPr>
                <w:rStyle w:val="Hipercze"/>
              </w:rPr>
              <w:t>9.</w:t>
            </w:r>
            <w:r w:rsidR="00B54F9D">
              <w:rPr>
                <w:rFonts w:asciiTheme="minorHAnsi" w:eastAsiaTheme="minorEastAsia" w:hAnsiTheme="minorHAnsi" w:cstheme="minorBidi"/>
                <w:b w:val="0"/>
                <w:bCs w:val="0"/>
                <w:smallCaps w:val="0"/>
                <w:sz w:val="24"/>
                <w:szCs w:val="24"/>
                <w:lang w:eastAsia="pl-PL"/>
              </w:rPr>
              <w:tab/>
            </w:r>
            <w:r w:rsidR="00B54F9D" w:rsidRPr="0058642A">
              <w:rPr>
                <w:rStyle w:val="Hipercze"/>
              </w:rPr>
              <w:t>Bibliografia</w:t>
            </w:r>
            <w:r w:rsidR="00B54F9D">
              <w:rPr>
                <w:webHidden/>
              </w:rPr>
              <w:tab/>
            </w:r>
            <w:r w:rsidR="00B54F9D">
              <w:rPr>
                <w:webHidden/>
              </w:rPr>
              <w:fldChar w:fldCharType="begin"/>
            </w:r>
            <w:r w:rsidR="00B54F9D">
              <w:rPr>
                <w:webHidden/>
              </w:rPr>
              <w:instrText xml:space="preserve"> PAGEREF _Toc528189755 \h </w:instrText>
            </w:r>
            <w:r w:rsidR="00B54F9D">
              <w:rPr>
                <w:webHidden/>
              </w:rPr>
            </w:r>
            <w:r w:rsidR="00B54F9D">
              <w:rPr>
                <w:webHidden/>
              </w:rPr>
              <w:fldChar w:fldCharType="separate"/>
            </w:r>
            <w:r w:rsidR="00B54F9D">
              <w:rPr>
                <w:webHidden/>
              </w:rPr>
              <w:t>40</w:t>
            </w:r>
            <w:r w:rsidR="00B54F9D">
              <w:rPr>
                <w:webHidden/>
              </w:rPr>
              <w:fldChar w:fldCharType="end"/>
            </w:r>
          </w:hyperlink>
        </w:p>
        <w:p w14:paraId="01759A88" w14:textId="48FE2F5F" w:rsidR="004216A6" w:rsidRPr="000F0C40" w:rsidRDefault="00FF6B94" w:rsidP="003E5930">
          <w:pPr>
            <w:pStyle w:val="Spistreci1"/>
            <w:tabs>
              <w:tab w:val="left" w:pos="567"/>
              <w:tab w:val="right" w:leader="dot" w:pos="8931"/>
            </w:tabs>
            <w:spacing w:line="276" w:lineRule="auto"/>
            <w:ind w:left="567" w:right="874" w:hanging="567"/>
            <w:jc w:val="both"/>
            <w:rPr>
              <w:rFonts w:cs="Arial"/>
              <w:noProof w:val="0"/>
              <w:sz w:val="18"/>
              <w:szCs w:val="18"/>
              <w:lang w:val="en-GB"/>
            </w:rPr>
          </w:pPr>
          <w:r w:rsidRPr="000F0C40">
            <w:rPr>
              <w:rFonts w:cs="Arial"/>
              <w:b w:val="0"/>
              <w:smallCaps w:val="0"/>
              <w:noProof w:val="0"/>
              <w:sz w:val="18"/>
              <w:szCs w:val="18"/>
              <w:lang w:val="en-GB"/>
            </w:rPr>
            <w:fldChar w:fldCharType="end"/>
          </w:r>
        </w:p>
      </w:sdtContent>
    </w:sdt>
    <w:p w14:paraId="0FF5EA4E" w14:textId="33C25EAD" w:rsidR="006A0E4B" w:rsidRPr="000F0C40" w:rsidRDefault="006A0E4B" w:rsidP="003E5930">
      <w:pPr>
        <w:pStyle w:val="Tytu"/>
        <w:tabs>
          <w:tab w:val="left" w:pos="3609"/>
        </w:tabs>
        <w:spacing w:line="276" w:lineRule="auto"/>
        <w:outlineLvl w:val="2"/>
        <w:rPr>
          <w:sz w:val="18"/>
          <w:szCs w:val="18"/>
          <w:lang w:val="en-GB"/>
        </w:rPr>
        <w:sectPr w:rsidR="006A0E4B" w:rsidRPr="000F0C40" w:rsidSect="00876275">
          <w:headerReference w:type="default" r:id="rId11"/>
          <w:footerReference w:type="default" r:id="rId12"/>
          <w:type w:val="continuous"/>
          <w:pgSz w:w="11906" w:h="16838"/>
          <w:pgMar w:top="1418" w:right="1418" w:bottom="1418" w:left="1418" w:header="709" w:footer="340" w:gutter="261"/>
          <w:cols w:space="255"/>
          <w:titlePg/>
          <w:docGrid w:linePitch="360"/>
        </w:sectPr>
      </w:pPr>
    </w:p>
    <w:p w14:paraId="15E1E70E" w14:textId="54B73309" w:rsidR="004E20B4" w:rsidRPr="00DA57F1" w:rsidRDefault="004E20B4" w:rsidP="004E20B4">
      <w:pPr>
        <w:pStyle w:val="Nagwek11"/>
      </w:pPr>
      <w:bookmarkStart w:id="3" w:name="_Toc528189726"/>
      <w:bookmarkStart w:id="4" w:name="_Toc527709518"/>
      <w:bookmarkStart w:id="5" w:name="_Toc341080275"/>
      <w:bookmarkStart w:id="6" w:name="_Toc341109283"/>
      <w:bookmarkStart w:id="7" w:name="_Toc346044752"/>
      <w:bookmarkStart w:id="8" w:name="_Toc346717032"/>
      <w:bookmarkStart w:id="9" w:name="_Toc346804334"/>
      <w:bookmarkStart w:id="10" w:name="_Toc351969030"/>
      <w:r w:rsidRPr="00DA57F1">
        <w:rPr>
          <w:lang w:eastAsia="pl-PL"/>
        </w:rPr>
        <w:lastRenderedPageBreak/>
        <w:t>Rekomendacja definicji</w:t>
      </w:r>
      <w:r w:rsidR="00301F88">
        <w:rPr>
          <w:lang w:eastAsia="pl-PL"/>
        </w:rPr>
        <w:t xml:space="preserve"> oraz sposobu</w:t>
      </w:r>
      <w:r w:rsidRPr="00DA57F1">
        <w:rPr>
          <w:lang w:eastAsia="pl-PL"/>
        </w:rPr>
        <w:t xml:space="preserve"> mierzenia i monitorowania ubóstwa energetycznego</w:t>
      </w:r>
      <w:bookmarkEnd w:id="3"/>
      <w:r w:rsidRPr="00DA57F1">
        <w:rPr>
          <w:lang w:eastAsia="pl-PL"/>
        </w:rPr>
        <w:t xml:space="preserve"> </w:t>
      </w:r>
      <w:bookmarkEnd w:id="4"/>
    </w:p>
    <w:p w14:paraId="259C0AD3" w14:textId="77777777" w:rsidR="004E20B4" w:rsidRPr="00DA57F1" w:rsidRDefault="004E20B4" w:rsidP="004E20B4">
      <w:pPr>
        <w:pStyle w:val="Nagwek2"/>
        <w:spacing w:line="276" w:lineRule="auto"/>
        <w:rPr>
          <w:lang w:eastAsia="pl-PL"/>
        </w:rPr>
      </w:pPr>
      <w:bookmarkStart w:id="11" w:name="_Toc528189727"/>
      <w:r w:rsidRPr="00DA57F1">
        <w:rPr>
          <w:lang w:eastAsia="pl-PL"/>
        </w:rPr>
        <w:t>Wprowadzenie</w:t>
      </w:r>
      <w:bookmarkEnd w:id="11"/>
    </w:p>
    <w:p w14:paraId="2AC88152" w14:textId="77777777" w:rsidR="004E20B4" w:rsidRDefault="004E20B4" w:rsidP="004E20B4">
      <w:pPr>
        <w:pStyle w:val="Normal1"/>
        <w:rPr>
          <w:lang w:val="en-GB"/>
        </w:rPr>
      </w:pPr>
      <w:r w:rsidRPr="0099435B">
        <w:rPr>
          <w:lang w:eastAsia="pl-PL"/>
        </w:rPr>
        <w:t xml:space="preserve">Ubóstwo energetyczne może wynikać z </w:t>
      </w:r>
      <w:r>
        <w:rPr>
          <w:lang w:eastAsia="pl-PL"/>
        </w:rPr>
        <w:t>połączenia</w:t>
      </w:r>
      <w:r w:rsidRPr="0099435B">
        <w:rPr>
          <w:lang w:eastAsia="pl-PL"/>
        </w:rPr>
        <w:t xml:space="preserve"> niekorzystnych </w:t>
      </w:r>
      <w:r>
        <w:rPr>
          <w:lang w:eastAsia="pl-PL"/>
        </w:rPr>
        <w:t>okoliczności</w:t>
      </w:r>
      <w:r w:rsidRPr="0099435B">
        <w:rPr>
          <w:lang w:eastAsia="pl-PL"/>
        </w:rPr>
        <w:t>, takich jak niska efektywność energetyczna budynków, wysokie koszty energii i niskie dochody gospodarstw domowych, które przekładają się na ponadprzeciętne zapotrzebowa</w:t>
      </w:r>
      <w:r>
        <w:rPr>
          <w:lang w:eastAsia="pl-PL"/>
        </w:rPr>
        <w:t>nie na energię i koszty</w:t>
      </w:r>
      <w:r w:rsidRPr="0099435B">
        <w:rPr>
          <w:lang w:eastAsia="pl-PL"/>
        </w:rPr>
        <w:t>. Ubogie energetycznie gospodarstwa domowe zazwyczaj mają dwie możliwości</w:t>
      </w:r>
      <w:r>
        <w:rPr>
          <w:lang w:eastAsia="pl-PL"/>
        </w:rPr>
        <w:t xml:space="preserve"> </w:t>
      </w:r>
      <w:r>
        <w:rPr>
          <w:lang w:val="en-GB"/>
        </w:rPr>
        <w:t>(Boardman, 2010):</w:t>
      </w:r>
    </w:p>
    <w:p w14:paraId="6330FD5C" w14:textId="6915EC3F" w:rsidR="0055198B" w:rsidRPr="00961B46" w:rsidRDefault="004E20B4" w:rsidP="004E20B4">
      <w:pPr>
        <w:pStyle w:val="Bullety"/>
      </w:pPr>
      <w:r>
        <w:t>Wydawać ponadprzeciętną kwotę</w:t>
      </w:r>
      <w:r w:rsidRPr="0099435B">
        <w:t xml:space="preserve"> dochodu na energię (ciepło, </w:t>
      </w:r>
      <w:r>
        <w:t>o</w:t>
      </w:r>
      <w:r w:rsidRPr="0099435B">
        <w:t>świ</w:t>
      </w:r>
      <w:r>
        <w:t>etlenie</w:t>
      </w:r>
      <w:r w:rsidRPr="0099435B">
        <w:t>, gotowanie i używanie urządze</w:t>
      </w:r>
      <w:r>
        <w:t>ń</w:t>
      </w:r>
      <w:r w:rsidRPr="0099435B">
        <w:t xml:space="preserve">) </w:t>
      </w:r>
      <w:r>
        <w:t>i ograniczać środki finansowe na</w:t>
      </w:r>
      <w:r w:rsidRPr="0099435B">
        <w:t xml:space="preserve"> inne potrzeby, w tym </w:t>
      </w:r>
      <w:r>
        <w:t>te najbardziej podstawowe;</w:t>
      </w:r>
      <w:r w:rsidR="0055198B" w:rsidRPr="00961B46">
        <w:t xml:space="preserve"> </w:t>
      </w:r>
    </w:p>
    <w:p w14:paraId="3746C4C6" w14:textId="77777777" w:rsidR="004E20B4" w:rsidRPr="003C62E9" w:rsidRDefault="004E20B4" w:rsidP="004E20B4">
      <w:pPr>
        <w:pStyle w:val="Bullety"/>
        <w:jc w:val="left"/>
      </w:pPr>
      <w:r>
        <w:t>Zaakceptować ograniczony standard podstawowych usług energetycznych i narazić się na nieadekwatne ogrzewanie i oświetlenie domu i w rezultacie obniżenie warunków życia</w:t>
      </w:r>
    </w:p>
    <w:p w14:paraId="30F7AF81" w14:textId="3A5CC1E6" w:rsidR="004E20B4" w:rsidRPr="001E1C94" w:rsidRDefault="004E20B4" w:rsidP="004E20B4">
      <w:pPr>
        <w:pStyle w:val="Bullety"/>
        <w:numPr>
          <w:ilvl w:val="0"/>
          <w:numId w:val="0"/>
        </w:numPr>
      </w:pPr>
      <w:r>
        <w:t>W</w:t>
      </w:r>
      <w:r w:rsidRPr="001E1C94">
        <w:t xml:space="preserve"> celu zmniejszeni</w:t>
      </w:r>
      <w:r>
        <w:t>a</w:t>
      </w:r>
      <w:r w:rsidRPr="001E1C94">
        <w:t xml:space="preserve"> ubóstwa energetycznego, </w:t>
      </w:r>
      <w:r>
        <w:t>m.in. przez poprawę</w:t>
      </w:r>
      <w:r w:rsidRPr="001E1C94">
        <w:t xml:space="preserve"> efektywności energetycznej budynków, instalacj</w:t>
      </w:r>
      <w:r>
        <w:t>ę</w:t>
      </w:r>
      <w:r w:rsidRPr="001E1C94">
        <w:t xml:space="preserve"> wydajnych źródeł energii lub zapewnienie wsparcia finansowego, wymaga</w:t>
      </w:r>
      <w:r w:rsidR="007E312D">
        <w:t>na jest systematyczna identyfikacja</w:t>
      </w:r>
      <w:r w:rsidRPr="001E1C94">
        <w:t xml:space="preserve"> </w:t>
      </w:r>
      <w:r>
        <w:t xml:space="preserve">ubogich energetycznie </w:t>
      </w:r>
      <w:r w:rsidRPr="001E1C94">
        <w:t>gospodarstw domowych. Dostos</w:t>
      </w:r>
      <w:r>
        <w:t>owanie mechanizmów wsparcia do uwarunkowań</w:t>
      </w:r>
      <w:r w:rsidRPr="001E1C94">
        <w:t xml:space="preserve"> ubóstwa energetycznego jest kluczowe d</w:t>
      </w:r>
      <w:r>
        <w:t>o</w:t>
      </w:r>
      <w:r w:rsidRPr="001E1C94">
        <w:t xml:space="preserve"> osiągnięcia </w:t>
      </w:r>
      <w:r>
        <w:t xml:space="preserve">ich </w:t>
      </w:r>
      <w:r w:rsidRPr="001E1C94">
        <w:t>skuteczności.</w:t>
      </w:r>
    </w:p>
    <w:p w14:paraId="4D5DF9FA" w14:textId="4E27246A" w:rsidR="004E20B4" w:rsidRDefault="004E20B4" w:rsidP="004E20B4">
      <w:pPr>
        <w:pStyle w:val="Normal1"/>
        <w:rPr>
          <w:lang w:eastAsia="pl-PL"/>
        </w:rPr>
      </w:pPr>
      <w:r w:rsidRPr="00DA57F1">
        <w:rPr>
          <w:lang w:eastAsia="pl-PL"/>
        </w:rPr>
        <w:t xml:space="preserve">W celu właściwego mierzenia i </w:t>
      </w:r>
      <w:r w:rsidRPr="001E1C94">
        <w:rPr>
          <w:lang w:eastAsia="pl-PL"/>
        </w:rPr>
        <w:t>monitowania</w:t>
      </w:r>
      <w:r w:rsidRPr="00DA57F1">
        <w:rPr>
          <w:lang w:eastAsia="pl-PL"/>
        </w:rPr>
        <w:t xml:space="preserve"> ubóstwa energetycznego</w:t>
      </w:r>
      <w:r>
        <w:rPr>
          <w:lang w:eastAsia="pl-PL"/>
        </w:rPr>
        <w:t xml:space="preserve"> </w:t>
      </w:r>
      <w:r w:rsidR="007E312D">
        <w:rPr>
          <w:lang w:eastAsia="pl-PL"/>
        </w:rPr>
        <w:t>przedstawiamy</w:t>
      </w:r>
      <w:r w:rsidRPr="00DA57F1">
        <w:rPr>
          <w:lang w:eastAsia="pl-PL"/>
        </w:rPr>
        <w:t>:</w:t>
      </w:r>
    </w:p>
    <w:p w14:paraId="294BCE34" w14:textId="1A3E7A14" w:rsidR="004E20B4" w:rsidRDefault="004E20B4" w:rsidP="004E20B4">
      <w:pPr>
        <w:pStyle w:val="Bullety"/>
      </w:pPr>
      <w:r>
        <w:t>Rekomendację optymalnej definicji ubóstwa energetycznego właściwej</w:t>
      </w:r>
      <w:r w:rsidR="007E312D">
        <w:t xml:space="preserve"> dla polskiej specyfiki</w:t>
      </w:r>
      <w:r>
        <w:t xml:space="preserve"> oraz dostępności danych;</w:t>
      </w:r>
    </w:p>
    <w:p w14:paraId="5C326752" w14:textId="77777777" w:rsidR="004E20B4" w:rsidRPr="00DA57F1" w:rsidRDefault="004E20B4" w:rsidP="004E20B4">
      <w:pPr>
        <w:pStyle w:val="Bullety"/>
      </w:pPr>
      <w:r>
        <w:t>Zestaw podstawowych i uzupełniających wskaźników pasujących do definicji.</w:t>
      </w:r>
    </w:p>
    <w:p w14:paraId="4B15653F" w14:textId="6C5F6020" w:rsidR="00B563FE" w:rsidRPr="004E20B4" w:rsidRDefault="004E20B4" w:rsidP="003E5930">
      <w:pPr>
        <w:pStyle w:val="Nagwek2"/>
        <w:spacing w:line="276" w:lineRule="auto"/>
      </w:pPr>
      <w:bookmarkStart w:id="12" w:name="_Toc528189728"/>
      <w:r w:rsidRPr="004E20B4">
        <w:t>Struktura dokumentu</w:t>
      </w:r>
      <w:bookmarkEnd w:id="12"/>
    </w:p>
    <w:p w14:paraId="7065227A" w14:textId="678BB4BA" w:rsidR="0055198B" w:rsidRPr="00B563FE" w:rsidRDefault="004E20B4" w:rsidP="003E5930">
      <w:pPr>
        <w:pStyle w:val="Bullety"/>
        <w:numPr>
          <w:ilvl w:val="0"/>
          <w:numId w:val="0"/>
        </w:numPr>
        <w:rPr>
          <w:szCs w:val="24"/>
          <w:lang w:val="en-GB"/>
        </w:rPr>
      </w:pPr>
      <w:r w:rsidRPr="004E20B4">
        <w:rPr>
          <w:szCs w:val="24"/>
        </w:rPr>
        <w:t>Dokument ma następującą strukturę:</w:t>
      </w:r>
    </w:p>
    <w:p w14:paraId="2D2C51CE" w14:textId="1B6E7928" w:rsidR="004E20B4" w:rsidRPr="004E20B4" w:rsidRDefault="004E20B4" w:rsidP="004E20B4">
      <w:pPr>
        <w:pStyle w:val="Bullety"/>
        <w:ind w:left="502" w:hanging="360"/>
      </w:pPr>
      <w:r w:rsidRPr="004E20B4">
        <w:rPr>
          <w:b/>
        </w:rPr>
        <w:t xml:space="preserve">Porównanie </w:t>
      </w:r>
      <w:r w:rsidRPr="004E20B4">
        <w:t xml:space="preserve">definicji ubóstwa energetycznego oraz </w:t>
      </w:r>
      <w:r w:rsidR="007E312D">
        <w:t xml:space="preserve">jego </w:t>
      </w:r>
      <w:r w:rsidRPr="004E20B4">
        <w:t xml:space="preserve">opis </w:t>
      </w:r>
      <w:r w:rsidR="007E312D">
        <w:t xml:space="preserve">politykach </w:t>
      </w:r>
      <w:r w:rsidRPr="004E20B4">
        <w:t>europejski</w:t>
      </w:r>
      <w:r w:rsidR="007E312D">
        <w:t>ch</w:t>
      </w:r>
      <w:r w:rsidRPr="004E20B4">
        <w:t>;</w:t>
      </w:r>
    </w:p>
    <w:p w14:paraId="184B1678" w14:textId="77777777" w:rsidR="004E20B4" w:rsidRPr="004E20B4" w:rsidRDefault="004E20B4" w:rsidP="004E20B4">
      <w:pPr>
        <w:pStyle w:val="Bullety"/>
        <w:ind w:left="502" w:hanging="360"/>
      </w:pPr>
      <w:r w:rsidRPr="004E20B4">
        <w:rPr>
          <w:b/>
        </w:rPr>
        <w:t>Rekomendację</w:t>
      </w:r>
      <w:r w:rsidRPr="004E20B4">
        <w:t xml:space="preserve"> definicji ubóstwa energetycznego w Polsce, opartej na porównaniu trzech możliwościach zdefiniowania problemu;</w:t>
      </w:r>
    </w:p>
    <w:p w14:paraId="13A9A9C7" w14:textId="09ECB1DF" w:rsidR="004E20B4" w:rsidRPr="004E20B4" w:rsidRDefault="007E312D" w:rsidP="004E20B4">
      <w:pPr>
        <w:pStyle w:val="Bullety"/>
        <w:ind w:left="502" w:hanging="360"/>
      </w:pPr>
      <w:r>
        <w:rPr>
          <w:b/>
        </w:rPr>
        <w:t>Obliczenie</w:t>
      </w:r>
      <w:r w:rsidR="004E20B4" w:rsidRPr="004E20B4">
        <w:rPr>
          <w:b/>
        </w:rPr>
        <w:t xml:space="preserve"> wskaźników</w:t>
      </w:r>
      <w:r w:rsidR="004E20B4" w:rsidRPr="004E20B4">
        <w:t xml:space="preserve"> najwyższej jakości opisanych w Produkcie 2b </w:t>
      </w:r>
      <w:r w:rsidR="004E20B4" w:rsidRPr="004E20B4">
        <w:rPr>
          <w:i/>
        </w:rPr>
        <w:t>Ocena jakości danych i wskaźników ubóstwa energetycznego</w:t>
      </w:r>
      <w:r w:rsidR="004E20B4" w:rsidRPr="004E20B4">
        <w:t>. W celu dostosowania wskaźników do rekomendowanej definicji</w:t>
      </w:r>
      <w:r>
        <w:t xml:space="preserve"> obliczamy i oceniamy wskaźniki najwyższej jakości</w:t>
      </w:r>
      <w:r w:rsidR="004E20B4" w:rsidRPr="004E20B4">
        <w:t>;</w:t>
      </w:r>
    </w:p>
    <w:p w14:paraId="6EE2E2E6" w14:textId="77777777" w:rsidR="004E20B4" w:rsidRPr="004E20B4" w:rsidRDefault="004E20B4" w:rsidP="004E20B4">
      <w:pPr>
        <w:pStyle w:val="Bullety"/>
        <w:ind w:left="502" w:hanging="360"/>
      </w:pPr>
      <w:r w:rsidRPr="004E20B4">
        <w:rPr>
          <w:b/>
        </w:rPr>
        <w:t xml:space="preserve">Wnioski </w:t>
      </w:r>
      <w:r w:rsidRPr="004E20B4">
        <w:t>zawierające podsumowanie rekomendacji oraz zestaw wskaźników.</w:t>
      </w:r>
    </w:p>
    <w:p w14:paraId="4D4B212B" w14:textId="77777777" w:rsidR="002A25B6" w:rsidRPr="00961B46" w:rsidRDefault="002A25B6" w:rsidP="003E5930">
      <w:pPr>
        <w:pStyle w:val="Bullety"/>
        <w:numPr>
          <w:ilvl w:val="0"/>
          <w:numId w:val="0"/>
        </w:numPr>
      </w:pPr>
    </w:p>
    <w:p w14:paraId="18B87F1E" w14:textId="77777777" w:rsidR="004E20B4" w:rsidRPr="004E20B4" w:rsidRDefault="004E20B4" w:rsidP="004E20B4">
      <w:pPr>
        <w:pStyle w:val="Nagwek11"/>
      </w:pPr>
      <w:bookmarkStart w:id="13" w:name="_Toc528189729"/>
      <w:bookmarkStart w:id="14" w:name="_Toc527709521"/>
      <w:r w:rsidRPr="004E20B4">
        <w:t>Porównanie definicji ubóstwa energetycznego</w:t>
      </w:r>
      <w:bookmarkEnd w:id="13"/>
      <w:r w:rsidRPr="004E20B4">
        <w:t xml:space="preserve"> </w:t>
      </w:r>
      <w:bookmarkEnd w:id="14"/>
    </w:p>
    <w:p w14:paraId="20CB3029" w14:textId="306D2866" w:rsidR="00B563FE" w:rsidRPr="004E20B4" w:rsidRDefault="004E20B4" w:rsidP="00D9053C">
      <w:pPr>
        <w:pStyle w:val="Nagwek2"/>
        <w:spacing w:line="276" w:lineRule="auto"/>
        <w:rPr>
          <w:lang w:eastAsia="pl-PL"/>
        </w:rPr>
      </w:pPr>
      <w:bookmarkStart w:id="15" w:name="_Toc528189730"/>
      <w:r w:rsidRPr="004E20B4">
        <w:rPr>
          <w:lang w:eastAsia="pl-PL"/>
        </w:rPr>
        <w:t>Ubóstwo energetyczne w polityce Unii Europejskiej</w:t>
      </w:r>
      <w:bookmarkEnd w:id="15"/>
    </w:p>
    <w:p w14:paraId="4D248D10" w14:textId="1C5F29D5" w:rsidR="00415A82" w:rsidRPr="004E20B4" w:rsidRDefault="004E20B4" w:rsidP="003E5930">
      <w:pPr>
        <w:autoSpaceDE w:val="0"/>
        <w:autoSpaceDN w:val="0"/>
        <w:adjustRightInd w:val="0"/>
        <w:spacing w:after="0" w:line="276" w:lineRule="auto"/>
        <w:jc w:val="both"/>
        <w:rPr>
          <w:rFonts w:cs="Arial"/>
          <w:color w:val="000000"/>
          <w:sz w:val="20"/>
          <w:szCs w:val="20"/>
          <w:lang w:eastAsia="pl-PL"/>
        </w:rPr>
      </w:pPr>
      <w:r w:rsidRPr="004E20B4">
        <w:rPr>
          <w:rFonts w:cs="Arial"/>
          <w:color w:val="000000"/>
          <w:sz w:val="20"/>
          <w:szCs w:val="20"/>
          <w:lang w:eastAsia="pl-PL"/>
        </w:rPr>
        <w:t>Pierwsza definicja ubóstwa energetycznego została opracowana przez Boardman (1991, 2010). Ubóstwo energetyczne występuje wtedy, gdy gospodarstwa domowe nie dysponują wystarczającymi środkami na pokrycie podstawowego zapotrzebowania na energię umożliwiającego niezbędne ogrzanie, oświetlenie, gotowanie i wykorzystanie urządzeń gospodarstwa domowego. Wprowadzona w Wielkiej Brytanii definicja ubóstwa energetycznego wiązała się z ustanowieniem „</w:t>
      </w:r>
      <w:r w:rsidR="009025A2" w:rsidRPr="004E20B4">
        <w:rPr>
          <w:rFonts w:cs="Arial"/>
          <w:color w:val="000000"/>
          <w:sz w:val="20"/>
          <w:szCs w:val="20"/>
          <w:lang w:eastAsia="pl-PL"/>
        </w:rPr>
        <w:t xml:space="preserve">progu </w:t>
      </w:r>
      <w:r w:rsidRPr="004E20B4">
        <w:rPr>
          <w:rFonts w:cs="Arial"/>
          <w:color w:val="000000"/>
          <w:sz w:val="20"/>
          <w:szCs w:val="20"/>
          <w:lang w:eastAsia="pl-PL"/>
        </w:rPr>
        <w:t xml:space="preserve">10%” ubóstwa energetycznego. Zgodnie z </w:t>
      </w:r>
      <w:r w:rsidR="0070328A">
        <w:rPr>
          <w:rFonts w:cs="Arial"/>
          <w:color w:val="000000"/>
          <w:sz w:val="20"/>
          <w:szCs w:val="20"/>
          <w:lang w:eastAsia="pl-PL"/>
        </w:rPr>
        <w:t>tym</w:t>
      </w:r>
      <w:r w:rsidRPr="004E20B4">
        <w:rPr>
          <w:rFonts w:cs="Arial"/>
          <w:color w:val="000000"/>
          <w:sz w:val="20"/>
          <w:szCs w:val="20"/>
          <w:lang w:eastAsia="pl-PL"/>
        </w:rPr>
        <w:t xml:space="preserve"> kryterium, gospodarstwo domowe musiało wydawać ponad 10% dochodów na usługi energetyczne. W Europie, ubóstwo energetyczne jest również związane z problemem „zimnych domów”, czy „prekariatu energetycznego” (Bouzarovski, 2018).</w:t>
      </w:r>
    </w:p>
    <w:p w14:paraId="435C3478" w14:textId="77777777" w:rsidR="00415A82" w:rsidRPr="00961B46" w:rsidRDefault="00415A82" w:rsidP="003E5930">
      <w:pPr>
        <w:autoSpaceDE w:val="0"/>
        <w:autoSpaceDN w:val="0"/>
        <w:adjustRightInd w:val="0"/>
        <w:spacing w:after="0" w:line="276" w:lineRule="auto"/>
        <w:rPr>
          <w:rFonts w:cs="Arial"/>
          <w:color w:val="000000"/>
          <w:sz w:val="20"/>
          <w:szCs w:val="20"/>
          <w:lang w:eastAsia="pl-PL"/>
        </w:rPr>
      </w:pPr>
    </w:p>
    <w:p w14:paraId="049232EE" w14:textId="77ABD203" w:rsidR="004E20B4" w:rsidRPr="004E20B4" w:rsidRDefault="004E20B4" w:rsidP="004E20B4">
      <w:pPr>
        <w:autoSpaceDE w:val="0"/>
        <w:autoSpaceDN w:val="0"/>
        <w:adjustRightInd w:val="0"/>
        <w:spacing w:after="0" w:line="276" w:lineRule="auto"/>
        <w:jc w:val="both"/>
        <w:rPr>
          <w:sz w:val="20"/>
          <w:szCs w:val="20"/>
        </w:rPr>
      </w:pPr>
      <w:r w:rsidRPr="004E20B4">
        <w:rPr>
          <w:sz w:val="20"/>
          <w:szCs w:val="20"/>
        </w:rPr>
        <w:t>Ubóstwo energetyczne zostało dostrzeżone jako problem w państwach członkowskich UE, co ma swoje odzwierciedlenie we wprowadzaniu rozwiązań dedykowanych ubóstwu energetycznemu w politykach Unii Europejskiej. Pakiet „Czysta energia dla wszystkich Europejczyków” oraz Dyrektywa dotycząca energii elektrycznej zawierają bezpośredni</w:t>
      </w:r>
      <w:r w:rsidR="0070328A">
        <w:rPr>
          <w:sz w:val="20"/>
          <w:szCs w:val="20"/>
        </w:rPr>
        <w:t>e</w:t>
      </w:r>
      <w:r w:rsidRPr="004E20B4">
        <w:rPr>
          <w:sz w:val="20"/>
          <w:szCs w:val="20"/>
        </w:rPr>
        <w:t xml:space="preserve"> odn</w:t>
      </w:r>
      <w:r w:rsidR="0070328A">
        <w:rPr>
          <w:sz w:val="20"/>
          <w:szCs w:val="20"/>
        </w:rPr>
        <w:t xml:space="preserve">iesienia </w:t>
      </w:r>
      <w:r w:rsidRPr="004E20B4">
        <w:rPr>
          <w:sz w:val="20"/>
          <w:szCs w:val="20"/>
        </w:rPr>
        <w:t xml:space="preserve">do problemu ubóstwa energetycznego (Bouzarovski, 2018). Niektóre z proponowanych rozwiązań prawnych wiążą ubóstwo energetyczne z problemem konsumentów wrażliwych i </w:t>
      </w:r>
      <w:r w:rsidR="0070328A">
        <w:rPr>
          <w:sz w:val="20"/>
          <w:szCs w:val="20"/>
        </w:rPr>
        <w:t xml:space="preserve">ustanawiają </w:t>
      </w:r>
      <w:r w:rsidRPr="004E20B4">
        <w:rPr>
          <w:sz w:val="20"/>
          <w:szCs w:val="20"/>
        </w:rPr>
        <w:t xml:space="preserve">zakaz odłączania ich od dostaw energii elektrycznej (Komisja Europejska, 2017). Nowa propozycja dyrektywy o energii elektrycznej zawiera definicję ubóstwa energetycznego: </w:t>
      </w:r>
    </w:p>
    <w:p w14:paraId="189E405B" w14:textId="77777777" w:rsidR="004E20B4" w:rsidRPr="00961B46" w:rsidRDefault="004E20B4" w:rsidP="004E20B4">
      <w:pPr>
        <w:pStyle w:val="Normal1"/>
        <w:rPr>
          <w:color w:val="000000"/>
          <w:szCs w:val="20"/>
          <w:lang w:eastAsia="pl-PL"/>
        </w:rPr>
      </w:pPr>
    </w:p>
    <w:p w14:paraId="012E314B" w14:textId="53B432CF" w:rsidR="004E20B4" w:rsidRPr="004E20B4" w:rsidRDefault="004E20B4" w:rsidP="004E20B4">
      <w:pPr>
        <w:pStyle w:val="Normal1"/>
        <w:rPr>
          <w:szCs w:val="20"/>
        </w:rPr>
      </w:pPr>
      <w:r w:rsidRPr="004E20B4">
        <w:rPr>
          <w:szCs w:val="20"/>
        </w:rPr>
        <w:t xml:space="preserve">„Usługi energetyczne mają fundamentalne znaczenie dla dobrobytu obywateli Unii. Odpowiednie ciepło, chłodzenie, oświetlenie i dostęp do urządzeń zasilanych energią mają elementarny wpływ na </w:t>
      </w:r>
      <w:r w:rsidR="0070328A">
        <w:rPr>
          <w:szCs w:val="20"/>
        </w:rPr>
        <w:t>standard</w:t>
      </w:r>
      <w:r w:rsidRPr="004E20B4">
        <w:rPr>
          <w:szCs w:val="20"/>
        </w:rPr>
        <w:t xml:space="preserve"> życia i zdrowi</w:t>
      </w:r>
      <w:r w:rsidR="0070328A">
        <w:rPr>
          <w:szCs w:val="20"/>
        </w:rPr>
        <w:t>e</w:t>
      </w:r>
      <w:r w:rsidRPr="004E20B4">
        <w:rPr>
          <w:szCs w:val="20"/>
        </w:rPr>
        <w:t xml:space="preserve"> obywateli. Dostęp do usług energetycznych umożliwia obywatelom </w:t>
      </w:r>
      <w:r w:rsidR="0070328A">
        <w:rPr>
          <w:szCs w:val="20"/>
        </w:rPr>
        <w:t>Europy</w:t>
      </w:r>
      <w:r w:rsidRPr="004E20B4">
        <w:rPr>
          <w:szCs w:val="20"/>
        </w:rPr>
        <w:t xml:space="preserve"> wykorzystanie ich </w:t>
      </w:r>
      <w:r w:rsidR="0070328A">
        <w:rPr>
          <w:szCs w:val="20"/>
        </w:rPr>
        <w:t xml:space="preserve">pełnego </w:t>
      </w:r>
      <w:r w:rsidRPr="004E20B4">
        <w:rPr>
          <w:szCs w:val="20"/>
        </w:rPr>
        <w:t>potencjału i zwiększa integrację społeczną. Ubogie energetycznie gospodarstwa domowe nie mogą sobie pozwolić na zapewnienie odpowiedniego dostępu do usług energetycznych ze względu na połączenie niskich dochodów, wysokich wydatków na energię i niskiej efektywności energetycznej domów”. (Komisja Europejska, 2017).</w:t>
      </w:r>
    </w:p>
    <w:p w14:paraId="12382124" w14:textId="77777777" w:rsidR="00BC6FBB" w:rsidRDefault="004E20B4" w:rsidP="00BC6FBB">
      <w:pPr>
        <w:pStyle w:val="Normal1"/>
      </w:pPr>
      <w:r w:rsidRPr="004E20B4">
        <w:t>Na poziomie UE, ubóstwo energetyczne można rozumieć jako niezdolność gospodarstwa domowego do zapewnienia społecznie i materialnie uzasadnionego poziomu</w:t>
      </w:r>
      <w:r w:rsidR="0070328A">
        <w:t xml:space="preserve"> usług</w:t>
      </w:r>
      <w:r w:rsidRPr="004E20B4">
        <w:t xml:space="preserve"> energ</w:t>
      </w:r>
      <w:r w:rsidR="0070328A">
        <w:t>etycznych</w:t>
      </w:r>
      <w:r w:rsidRPr="004E20B4">
        <w:t xml:space="preserve"> w miejscu zamieszkania. Zakładamy, że zdefiniowanie ubóstwa energetycznego w projekcie dyrektywy UE podniesie priorytet rozwiązania tego problemu. </w:t>
      </w:r>
    </w:p>
    <w:p w14:paraId="3D8577F7" w14:textId="0BC7D6F3" w:rsidR="00F7286C" w:rsidRPr="00961B46" w:rsidRDefault="00BC6FBB" w:rsidP="003E5930">
      <w:pPr>
        <w:pStyle w:val="Normal1"/>
      </w:pPr>
      <w:r>
        <w:t xml:space="preserve">Ponadto, zgodnie z uzgodnionym rozporządzeniem UE w sprawie zarządzania unią energetyczną (na podstawie propozycji COM(2016)759 z dnia 30 listopada 2016 r.), państwa członkowskie są zobowiązane do oszacowania liczby ubogich energetycznie gospodarstw domowych. Kalkulacja powinna brać pod uwagę usługi energetyczne niezbędne do zagwarantowania podstawowego standardu życia, co powinno zostać ujęte w polityce społecznej i innych odpowiednich politykach danego kraju, a także uwzględniać wytyczne Komisji dotyczące wskaźników ubóstwa energetycznego. Na podstawie wyników takiej oceny państwa członkowskie mogą być zobowiązane do przedstawienia w krajowych planach energetycznych i klimatycznych orientacyjnego celu ograniczenia ubóstwa energetycznego oraz zarysu polityki i środków przeciwdziałania ubóstwu energetycznemu. </w:t>
      </w:r>
      <w:r w:rsidR="0070328A">
        <w:t>B</w:t>
      </w:r>
      <w:r w:rsidR="004E20B4" w:rsidRPr="004E20B4">
        <w:t>rak wspólnej definicji wpływa na fakt, że nie ma oficjalnych statystyk dotyczących skali ubóstwa energetycznego w Europie. Istnieją jedynie statystyki EU-SILC wykorzystywane do obliczania skali ubóstwa energetycznego</w:t>
      </w:r>
      <w:r w:rsidR="0070328A">
        <w:t>,</w:t>
      </w:r>
      <w:r w:rsidR="004E20B4" w:rsidRPr="004E20B4">
        <w:t xml:space="preserve"> publikowane przez Europejskie Obserwatorium Ubóstwa Energetycznego (</w:t>
      </w:r>
      <w:hyperlink r:id="rId13" w:history="1">
        <w:r w:rsidR="004E20B4" w:rsidRPr="004E20B4">
          <w:rPr>
            <w:rStyle w:val="Hipercze"/>
          </w:rPr>
          <w:t>https://www.energypoverty.eu/indicators-data)</w:t>
        </w:r>
      </w:hyperlink>
      <w:r w:rsidR="004E20B4" w:rsidRPr="004E20B4">
        <w:t>.</w:t>
      </w:r>
    </w:p>
    <w:p w14:paraId="32512E46" w14:textId="5BE63DBE" w:rsidR="008F13B6" w:rsidRPr="00961B46" w:rsidRDefault="00132E95" w:rsidP="00D9053C">
      <w:pPr>
        <w:pStyle w:val="Nagwek2"/>
      </w:pPr>
      <w:r w:rsidRPr="00961B46">
        <w:rPr>
          <w:b w:val="0"/>
          <w:bCs w:val="0"/>
          <w:iCs w:val="0"/>
        </w:rPr>
        <w:t xml:space="preserve"> </w:t>
      </w:r>
      <w:bookmarkStart w:id="16" w:name="_Toc528189731"/>
      <w:r w:rsidR="00D85979" w:rsidRPr="00D85979">
        <w:rPr>
          <w:bCs w:val="0"/>
          <w:iCs w:val="0"/>
        </w:rPr>
        <w:t>Porównanie definicji ubóstwa energetycznego w krajach UE</w:t>
      </w:r>
      <w:bookmarkEnd w:id="16"/>
    </w:p>
    <w:p w14:paraId="0A0C5566" w14:textId="34696CBF" w:rsidR="00415A82" w:rsidRPr="00961B46" w:rsidRDefault="00D85979" w:rsidP="1F8F1CB4">
      <w:pPr>
        <w:pStyle w:val="Normal1"/>
      </w:pPr>
      <w:r w:rsidRPr="00D85979">
        <w:t xml:space="preserve">W tabeli </w:t>
      </w:r>
      <w:r w:rsidR="0070328A">
        <w:t>1</w:t>
      </w:r>
      <w:r w:rsidRPr="00D85979">
        <w:t xml:space="preserve"> przedstawiamy oficjalne definicje przyjęte dotychczas w państwach członkowskich UE (oraz proponowaną definicję z „Dyrektywy w sprawie energii elektrycznej”). Prawie wszystkie kraje (z wyjątkiem Szwecji) </w:t>
      </w:r>
      <w:r w:rsidR="0070328A">
        <w:t>p</w:t>
      </w:r>
      <w:r w:rsidRPr="00D85979">
        <w:t xml:space="preserve">ostrzegają ubóstwo energetyczne jako ważny problem społeczny i polityczny (szczegółowy przegląd rozwiązań prawnych został </w:t>
      </w:r>
      <w:r w:rsidR="0070328A" w:rsidRPr="00D85979">
        <w:t xml:space="preserve">opracowany </w:t>
      </w:r>
      <w:r w:rsidRPr="00D85979">
        <w:t>przez INSIGHT_E, 2015). Na potrzeby tego dokumentu przedstawiamy wyłącznie oficjalnie przyjęte definicje.</w:t>
      </w:r>
    </w:p>
    <w:p w14:paraId="62F12C38" w14:textId="54B096D8" w:rsidR="00132E95" w:rsidRPr="00961B46" w:rsidRDefault="0070328A" w:rsidP="003E5930">
      <w:pPr>
        <w:pStyle w:val="Normal1"/>
        <w:rPr>
          <w:b/>
        </w:rPr>
      </w:pPr>
      <w:r>
        <w:rPr>
          <w:b/>
        </w:rPr>
        <w:br w:type="column"/>
      </w:r>
      <w:r w:rsidR="00D85979" w:rsidRPr="00D85979">
        <w:rPr>
          <w:b/>
        </w:rPr>
        <w:t xml:space="preserve">Tabela </w:t>
      </w:r>
      <w:r>
        <w:rPr>
          <w:b/>
        </w:rPr>
        <w:t>1</w:t>
      </w:r>
      <w:r w:rsidR="00D85979" w:rsidRPr="00D85979">
        <w:rPr>
          <w:b/>
        </w:rPr>
        <w:t xml:space="preserve"> Przegląd definicji ubóstwa energetycznego w wybranych krajach UE</w:t>
      </w:r>
    </w:p>
    <w:tbl>
      <w:tblPr>
        <w:tblStyle w:val="Tabela-Siatka"/>
        <w:tblW w:w="0" w:type="auto"/>
        <w:tblBorders>
          <w:insideH w:val="dotted" w:sz="4" w:space="0" w:color="auto"/>
          <w:insideV w:val="dotted" w:sz="4" w:space="0" w:color="auto"/>
        </w:tblBorders>
        <w:tblLook w:val="04A0" w:firstRow="1" w:lastRow="0" w:firstColumn="1" w:lastColumn="0" w:noHBand="0" w:noVBand="1"/>
      </w:tblPr>
      <w:tblGrid>
        <w:gridCol w:w="1288"/>
        <w:gridCol w:w="5526"/>
        <w:gridCol w:w="1985"/>
      </w:tblGrid>
      <w:tr w:rsidR="00D85979" w:rsidRPr="003D2AD2" w14:paraId="32B7FE9B" w14:textId="009F78BE" w:rsidTr="00D85979">
        <w:tc>
          <w:tcPr>
            <w:tcW w:w="1288" w:type="dxa"/>
            <w:tcBorders>
              <w:top w:val="single" w:sz="4" w:space="0" w:color="000000"/>
              <w:bottom w:val="single" w:sz="4" w:space="0" w:color="000000"/>
            </w:tcBorders>
            <w:shd w:val="clear" w:color="auto" w:fill="FFFF00"/>
            <w:vAlign w:val="center"/>
          </w:tcPr>
          <w:p w14:paraId="5D5B4D27" w14:textId="67718B64" w:rsidR="00D85979" w:rsidRPr="000F0C40" w:rsidRDefault="00D85979" w:rsidP="003E5930">
            <w:pPr>
              <w:pStyle w:val="Normal1"/>
              <w:jc w:val="center"/>
              <w:rPr>
                <w:b/>
                <w:highlight w:val="yellow"/>
                <w:lang w:val="en-GB"/>
              </w:rPr>
            </w:pPr>
            <w:r w:rsidRPr="00DA57F1">
              <w:rPr>
                <w:b/>
                <w:highlight w:val="yellow"/>
                <w:lang w:val="pl-PL"/>
              </w:rPr>
              <w:t>Kraj</w:t>
            </w:r>
          </w:p>
        </w:tc>
        <w:tc>
          <w:tcPr>
            <w:tcW w:w="5526" w:type="dxa"/>
            <w:tcBorders>
              <w:top w:val="single" w:sz="4" w:space="0" w:color="000000"/>
              <w:bottom w:val="single" w:sz="4" w:space="0" w:color="000000"/>
            </w:tcBorders>
            <w:shd w:val="clear" w:color="auto" w:fill="FFFF00"/>
            <w:vAlign w:val="center"/>
          </w:tcPr>
          <w:p w14:paraId="12ABB68D" w14:textId="5C6A82B9" w:rsidR="00D85979" w:rsidRPr="000F0C40" w:rsidRDefault="00D85979" w:rsidP="003E5930">
            <w:pPr>
              <w:pStyle w:val="Normal1"/>
              <w:jc w:val="center"/>
              <w:rPr>
                <w:b/>
                <w:highlight w:val="yellow"/>
                <w:lang w:val="en-GB"/>
              </w:rPr>
            </w:pPr>
            <w:r w:rsidRPr="00DA57F1">
              <w:rPr>
                <w:b/>
                <w:highlight w:val="yellow"/>
                <w:lang w:val="pl-PL"/>
              </w:rPr>
              <w:t>Definicja</w:t>
            </w:r>
          </w:p>
        </w:tc>
        <w:tc>
          <w:tcPr>
            <w:tcW w:w="1985" w:type="dxa"/>
            <w:tcBorders>
              <w:top w:val="single" w:sz="4" w:space="0" w:color="000000"/>
              <w:bottom w:val="single" w:sz="4" w:space="0" w:color="000000"/>
            </w:tcBorders>
            <w:shd w:val="clear" w:color="auto" w:fill="FFFF00"/>
            <w:vAlign w:val="center"/>
          </w:tcPr>
          <w:p w14:paraId="00E7AF39" w14:textId="313D543E" w:rsidR="00D85979" w:rsidRPr="000F0C40" w:rsidRDefault="00D85979" w:rsidP="003E5930">
            <w:pPr>
              <w:pStyle w:val="Normal1"/>
              <w:jc w:val="center"/>
              <w:rPr>
                <w:b/>
                <w:highlight w:val="yellow"/>
                <w:lang w:val="en-GB"/>
              </w:rPr>
            </w:pPr>
            <w:r w:rsidRPr="00DA57F1">
              <w:rPr>
                <w:b/>
                <w:highlight w:val="yellow"/>
                <w:lang w:val="pl-PL"/>
              </w:rPr>
              <w:t>Odwołanie</w:t>
            </w:r>
          </w:p>
        </w:tc>
      </w:tr>
      <w:tr w:rsidR="00415A82" w:rsidRPr="0092303C" w14:paraId="740DF339" w14:textId="5339D8E7" w:rsidTr="00D85979">
        <w:tc>
          <w:tcPr>
            <w:tcW w:w="1288" w:type="dxa"/>
            <w:tcBorders>
              <w:top w:val="single" w:sz="4" w:space="0" w:color="000000"/>
            </w:tcBorders>
            <w:vAlign w:val="center"/>
          </w:tcPr>
          <w:p w14:paraId="57AF61DD" w14:textId="252A3EF8" w:rsidR="00415A82" w:rsidRPr="000F0C40" w:rsidRDefault="00415A82" w:rsidP="003E5930">
            <w:pPr>
              <w:pStyle w:val="Normal1"/>
              <w:jc w:val="center"/>
              <w:rPr>
                <w:highlight w:val="yellow"/>
                <w:lang w:val="en-GB"/>
              </w:rPr>
            </w:pPr>
            <w:r w:rsidRPr="000F0C40">
              <w:rPr>
                <w:noProof/>
                <w:lang w:eastAsia="pl-PL"/>
              </w:rPr>
              <w:drawing>
                <wp:inline distT="0" distB="0" distL="0" distR="0" wp14:anchorId="37EFF4B0" wp14:editId="0B8ACB33">
                  <wp:extent cx="323850" cy="21209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3850" cy="212090"/>
                          </a:xfrm>
                          <a:prstGeom prst="rect">
                            <a:avLst/>
                          </a:prstGeom>
                          <a:noFill/>
                        </pic:spPr>
                      </pic:pic>
                    </a:graphicData>
                  </a:graphic>
                </wp:inline>
              </w:drawing>
            </w:r>
          </w:p>
        </w:tc>
        <w:tc>
          <w:tcPr>
            <w:tcW w:w="5526" w:type="dxa"/>
            <w:tcBorders>
              <w:top w:val="single" w:sz="4" w:space="0" w:color="000000"/>
            </w:tcBorders>
            <w:vAlign w:val="center"/>
          </w:tcPr>
          <w:p w14:paraId="7E4A4827" w14:textId="3599914F" w:rsidR="00415A82" w:rsidRPr="0070328A" w:rsidRDefault="0070328A" w:rsidP="003E5930">
            <w:pPr>
              <w:pStyle w:val="Normal1"/>
              <w:rPr>
                <w:highlight w:val="yellow"/>
                <w:lang w:val="pl-PL"/>
              </w:rPr>
            </w:pPr>
            <w:r w:rsidRPr="0070328A">
              <w:rPr>
                <w:szCs w:val="20"/>
                <w:lang w:val="pl-PL"/>
              </w:rPr>
              <w:t>Usługi energetyczne mają fundamentalne znaczenie dla dobrobytu obywateli Unii. Odpowiednie ciepło, chłodzenie, oświetlenie i dostęp do urządzeń zasilanych energią mają elementarny wpływ na standard życia i zdrowie obywateli. Dostęp do usług energetycznych umożliwia obywatelom Europy wykorzystanie ich pełnego potencjału i zwiększa integrację społeczną. Ubogie energetycznie gospodarstwa domowe nie mogą sobie pozwolić na zapewnienie odpowiedniego dostępu do usług energetycznych ze względu na połączenie niskich dochodów, wysokich wydatków na energię i niskiej efektywności energetycznej domów</w:t>
            </w:r>
            <w:r>
              <w:rPr>
                <w:szCs w:val="20"/>
                <w:lang w:val="pl-PL"/>
              </w:rPr>
              <w:t>.</w:t>
            </w:r>
          </w:p>
        </w:tc>
        <w:tc>
          <w:tcPr>
            <w:tcW w:w="1985" w:type="dxa"/>
            <w:tcBorders>
              <w:top w:val="single" w:sz="4" w:space="0" w:color="000000"/>
            </w:tcBorders>
            <w:vAlign w:val="center"/>
          </w:tcPr>
          <w:p w14:paraId="6D42E7EC" w14:textId="3284856A" w:rsidR="00415A82" w:rsidRPr="000F0C40" w:rsidRDefault="00D85979" w:rsidP="003E5930">
            <w:pPr>
              <w:pStyle w:val="Normal1"/>
              <w:jc w:val="center"/>
              <w:rPr>
                <w:highlight w:val="yellow"/>
                <w:lang w:val="en-GB"/>
              </w:rPr>
            </w:pPr>
            <w:r w:rsidRPr="00D85979">
              <w:rPr>
                <w:lang w:val="pl-PL"/>
              </w:rPr>
              <w:t>Dyrektywa o energii elektrycznej</w:t>
            </w:r>
          </w:p>
        </w:tc>
      </w:tr>
      <w:tr w:rsidR="00415A82" w:rsidRPr="007523D8" w14:paraId="56E59859" w14:textId="539C2AAF" w:rsidTr="00D85979">
        <w:tc>
          <w:tcPr>
            <w:tcW w:w="1288" w:type="dxa"/>
            <w:vAlign w:val="center"/>
          </w:tcPr>
          <w:p w14:paraId="2DCD15EC" w14:textId="16117AE0" w:rsidR="00415A82" w:rsidRPr="000F0C40" w:rsidRDefault="002B1796" w:rsidP="003E5930">
            <w:pPr>
              <w:pStyle w:val="Normal1"/>
              <w:jc w:val="center"/>
              <w:rPr>
                <w:highlight w:val="yellow"/>
                <w:lang w:val="en-GB"/>
              </w:rPr>
            </w:pPr>
            <w:r w:rsidRPr="002B1796">
              <w:rPr>
                <w:noProof/>
                <w:lang w:eastAsia="pl-PL"/>
              </w:rPr>
              <w:drawing>
                <wp:inline distT="0" distB="0" distL="0" distR="0" wp14:anchorId="37A3B1E7" wp14:editId="16068C7A">
                  <wp:extent cx="313200" cy="212400"/>
                  <wp:effectExtent l="0" t="0" r="0" b="0"/>
                  <wp:docPr id="22" name="Picture 56" descr="Pict_TK_Flagge_Zypern.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56" descr="Pict_TK_Flagge_Zypern.wmf"/>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3200" cy="212400"/>
                          </a:xfrm>
                          <a:prstGeom prst="rect">
                            <a:avLst/>
                          </a:prstGeom>
                          <a:noFill/>
                          <a:ln>
                            <a:noFill/>
                          </a:ln>
                          <a:extLst/>
                        </pic:spPr>
                      </pic:pic>
                    </a:graphicData>
                  </a:graphic>
                </wp:inline>
              </w:drawing>
            </w:r>
          </w:p>
        </w:tc>
        <w:tc>
          <w:tcPr>
            <w:tcW w:w="5526" w:type="dxa"/>
            <w:vAlign w:val="center"/>
          </w:tcPr>
          <w:p w14:paraId="2FCECCE3" w14:textId="28403AD3" w:rsidR="00415A82" w:rsidRPr="00961B46" w:rsidRDefault="00D85979" w:rsidP="003E5930">
            <w:pPr>
              <w:autoSpaceDE w:val="0"/>
              <w:autoSpaceDN w:val="0"/>
              <w:adjustRightInd w:val="0"/>
              <w:spacing w:after="0" w:line="276" w:lineRule="auto"/>
              <w:jc w:val="both"/>
              <w:rPr>
                <w:highlight w:val="yellow"/>
                <w:lang w:val="pl-PL"/>
              </w:rPr>
            </w:pPr>
            <w:r w:rsidRPr="00D85979">
              <w:rPr>
                <w:rFonts w:cs="Arial"/>
                <w:iCs/>
                <w:sz w:val="20"/>
                <w:szCs w:val="20"/>
                <w:lang w:val="pl-PL" w:eastAsia="pl-PL"/>
              </w:rPr>
              <w:t>Ubóstwo energetyczne może zachodzić, kiedy klienci usług energetycznych znajdują się w trudnej sytuacji materialnej ze względu na niskie dochody (na podstawie zeznań podatkowych) połączone z ich statusem zawodowym, stanem cywilnym oraz zdrowiem. W wyniku opisanych warunków nie są w stanie ponosić kosztów energii elektrycznej, gdyż koszty te stanowią znaczny udział w rozporządzalnym dochodzie.</w:t>
            </w:r>
          </w:p>
        </w:tc>
        <w:tc>
          <w:tcPr>
            <w:tcW w:w="1985" w:type="dxa"/>
            <w:vAlign w:val="center"/>
          </w:tcPr>
          <w:p w14:paraId="291E6839" w14:textId="5BF32DA2" w:rsidR="00415A82" w:rsidRPr="00961B46" w:rsidRDefault="00D85979" w:rsidP="00D85979">
            <w:pPr>
              <w:pStyle w:val="Normal1"/>
              <w:jc w:val="center"/>
              <w:rPr>
                <w:lang w:val="pl-PL"/>
              </w:rPr>
            </w:pPr>
            <w:r w:rsidRPr="00D85979">
              <w:rPr>
                <w:lang w:val="pl-PL"/>
              </w:rPr>
              <w:t xml:space="preserve">Ministerstwo Energii, Handlu, Przemysłu </w:t>
            </w:r>
            <w:r>
              <w:rPr>
                <w:lang w:val="pl-PL"/>
              </w:rPr>
              <w:t>i</w:t>
            </w:r>
            <w:r w:rsidRPr="00D85979">
              <w:rPr>
                <w:lang w:val="pl-PL"/>
              </w:rPr>
              <w:t xml:space="preserve"> Turystyki</w:t>
            </w:r>
          </w:p>
        </w:tc>
      </w:tr>
      <w:tr w:rsidR="00415A82" w:rsidRPr="007523D8" w14:paraId="0C735B3D" w14:textId="77777777" w:rsidTr="00D85979">
        <w:tc>
          <w:tcPr>
            <w:tcW w:w="1288" w:type="dxa"/>
            <w:vAlign w:val="center"/>
          </w:tcPr>
          <w:p w14:paraId="72256909" w14:textId="79A43A14" w:rsidR="00415A82" w:rsidRPr="000F0C40" w:rsidRDefault="00415A82" w:rsidP="003E5930">
            <w:pPr>
              <w:pStyle w:val="Normal1"/>
              <w:jc w:val="center"/>
              <w:rPr>
                <w:noProof/>
                <w:lang w:eastAsia="pl-PL"/>
              </w:rPr>
            </w:pPr>
            <w:r w:rsidRPr="000F0C40">
              <w:rPr>
                <w:noProof/>
                <w:lang w:eastAsia="pl-PL"/>
              </w:rPr>
              <w:drawing>
                <wp:inline distT="0" distB="0" distL="0" distR="0" wp14:anchorId="2C550CF9" wp14:editId="55DF8219">
                  <wp:extent cx="313200" cy="2124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3200" cy="212400"/>
                          </a:xfrm>
                          <a:prstGeom prst="rect">
                            <a:avLst/>
                          </a:prstGeom>
                          <a:noFill/>
                        </pic:spPr>
                      </pic:pic>
                    </a:graphicData>
                  </a:graphic>
                </wp:inline>
              </w:drawing>
            </w:r>
          </w:p>
        </w:tc>
        <w:tc>
          <w:tcPr>
            <w:tcW w:w="5526" w:type="dxa"/>
            <w:vAlign w:val="center"/>
          </w:tcPr>
          <w:p w14:paraId="203B62E7" w14:textId="58B006EA" w:rsidR="00415A82" w:rsidRPr="00961B46" w:rsidRDefault="00D85979" w:rsidP="003E5930">
            <w:pPr>
              <w:pStyle w:val="Normal1"/>
              <w:rPr>
                <w:lang w:val="pl-PL"/>
              </w:rPr>
            </w:pPr>
            <w:r w:rsidRPr="00D85979">
              <w:rPr>
                <w:lang w:val="pl-PL"/>
              </w:rPr>
              <w:t>Osoba, która ma szczególne trudności z zaopatrzeniem w energię wystarczającą do zaspokojenia podstawowych potrzeb w miejscu zamieszkania, co wynika z niewystarczających zasobów lub nieodpowiednich warunków mieszkaniowych.</w:t>
            </w:r>
          </w:p>
        </w:tc>
        <w:tc>
          <w:tcPr>
            <w:tcW w:w="1985" w:type="dxa"/>
            <w:vAlign w:val="center"/>
          </w:tcPr>
          <w:p w14:paraId="44FBD6FC" w14:textId="252E4C97" w:rsidR="00415A82" w:rsidRPr="00961B46" w:rsidRDefault="00D85979" w:rsidP="00D85979">
            <w:pPr>
              <w:pStyle w:val="Normal1"/>
              <w:jc w:val="center"/>
              <w:rPr>
                <w:lang w:val="pl-PL"/>
              </w:rPr>
            </w:pPr>
            <w:r w:rsidRPr="00D85979">
              <w:rPr>
                <w:lang w:val="pl-PL"/>
              </w:rPr>
              <w:t xml:space="preserve">Zgodnie z artykułem 11 prawa </w:t>
            </w:r>
            <w:r>
              <w:rPr>
                <w:lang w:val="pl-PL"/>
              </w:rPr>
              <w:t>„Grenelle II”</w:t>
            </w:r>
            <w:r w:rsidRPr="00D85979">
              <w:rPr>
                <w:lang w:val="pl-PL"/>
              </w:rPr>
              <w:t xml:space="preserve"> z 12 lipca 2010 r.</w:t>
            </w:r>
          </w:p>
        </w:tc>
      </w:tr>
      <w:tr w:rsidR="00415A82" w:rsidRPr="007523D8" w14:paraId="0DD1F57F" w14:textId="77777777" w:rsidTr="00D85979">
        <w:tc>
          <w:tcPr>
            <w:tcW w:w="1288" w:type="dxa"/>
            <w:vAlign w:val="center"/>
          </w:tcPr>
          <w:p w14:paraId="4E4C7777" w14:textId="0CBC62D6" w:rsidR="00415A82" w:rsidRPr="000F0C40" w:rsidRDefault="00415A82" w:rsidP="003E5930">
            <w:pPr>
              <w:pStyle w:val="Normal1"/>
              <w:jc w:val="center"/>
              <w:rPr>
                <w:noProof/>
                <w:lang w:eastAsia="pl-PL"/>
              </w:rPr>
            </w:pPr>
            <w:r w:rsidRPr="00F64D36">
              <w:rPr>
                <w:noProof/>
                <w:lang w:eastAsia="pl-PL"/>
              </w:rPr>
              <w:drawing>
                <wp:inline distT="0" distB="0" distL="0" distR="0" wp14:anchorId="32286237" wp14:editId="32B3B02F">
                  <wp:extent cx="309600" cy="212400"/>
                  <wp:effectExtent l="0" t="0" r="0" b="0"/>
                  <wp:docPr id="52" name="Picture 35" descr="Pict_TK_Flagge_Republik Irland.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35" descr="Pict_TK_Flagge_Republik Irland.wmf"/>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9600" cy="212400"/>
                          </a:xfrm>
                          <a:prstGeom prst="rect">
                            <a:avLst/>
                          </a:prstGeom>
                          <a:noFill/>
                          <a:ln>
                            <a:noFill/>
                          </a:ln>
                          <a:extLst/>
                        </pic:spPr>
                      </pic:pic>
                    </a:graphicData>
                  </a:graphic>
                </wp:inline>
              </w:drawing>
            </w:r>
          </w:p>
        </w:tc>
        <w:tc>
          <w:tcPr>
            <w:tcW w:w="5526" w:type="dxa"/>
            <w:vAlign w:val="center"/>
          </w:tcPr>
          <w:p w14:paraId="668FF8AE" w14:textId="33723FC5" w:rsidR="00415A82" w:rsidRPr="00961B46" w:rsidRDefault="00D85979" w:rsidP="003E5930">
            <w:pPr>
              <w:pStyle w:val="Normal1"/>
              <w:rPr>
                <w:highlight w:val="yellow"/>
                <w:lang w:val="pl-PL"/>
              </w:rPr>
            </w:pPr>
            <w:r w:rsidRPr="00D85979">
              <w:rPr>
                <w:lang w:val="pl-PL"/>
              </w:rPr>
              <w:t>Sytuacja, w której gospodarstwo domowe nie jest w stanie osiągnąć wystarczającego poziomu usług energetycznych (w tym ogrzewania, oświetlenia itp.), w miejscu zamieszania, z powodu niezdolności do spełnienia potrzeb energetycznych po przystępnej cenie. Przystępna cena energii jest rozumiana jako stosunek wydatków na niezbędne usługi energetyczne względem rozporządzalnego dochodu.</w:t>
            </w:r>
          </w:p>
        </w:tc>
        <w:tc>
          <w:tcPr>
            <w:tcW w:w="1985" w:type="dxa"/>
            <w:vAlign w:val="center"/>
          </w:tcPr>
          <w:p w14:paraId="19B347B0" w14:textId="467D86E5" w:rsidR="00415A82" w:rsidRPr="00961B46" w:rsidRDefault="00D85979" w:rsidP="00D85979">
            <w:pPr>
              <w:pStyle w:val="Normal1"/>
              <w:jc w:val="center"/>
              <w:rPr>
                <w:lang w:val="pl-PL"/>
              </w:rPr>
            </w:pPr>
            <w:r w:rsidRPr="00D85979">
              <w:rPr>
                <w:lang w:val="pl-PL"/>
              </w:rPr>
              <w:t>„Cieplejsze Domy – Strategia</w:t>
            </w:r>
            <w:r>
              <w:rPr>
                <w:lang w:val="pl-PL"/>
              </w:rPr>
              <w:t xml:space="preserve"> dla</w:t>
            </w:r>
            <w:r w:rsidRPr="00D85979">
              <w:rPr>
                <w:lang w:val="pl-PL"/>
              </w:rPr>
              <w:t xml:space="preserve"> </w:t>
            </w:r>
            <w:r>
              <w:rPr>
                <w:lang w:val="pl-PL"/>
              </w:rPr>
              <w:t>Tańszej</w:t>
            </w:r>
            <w:r w:rsidRPr="00D85979">
              <w:rPr>
                <w:lang w:val="pl-PL"/>
              </w:rPr>
              <w:t xml:space="preserve"> Energii w Irlandii”</w:t>
            </w:r>
          </w:p>
        </w:tc>
      </w:tr>
      <w:tr w:rsidR="00415A82" w:rsidRPr="007523D8" w14:paraId="37072B69" w14:textId="77777777" w:rsidTr="00D85979">
        <w:tc>
          <w:tcPr>
            <w:tcW w:w="1288" w:type="dxa"/>
            <w:vAlign w:val="center"/>
          </w:tcPr>
          <w:p w14:paraId="09899234" w14:textId="50049F35" w:rsidR="00415A82" w:rsidRPr="000F0C40" w:rsidRDefault="00415A82" w:rsidP="003E5930">
            <w:pPr>
              <w:pStyle w:val="Normal1"/>
              <w:jc w:val="center"/>
              <w:rPr>
                <w:noProof/>
                <w:lang w:eastAsia="pl-PL"/>
              </w:rPr>
            </w:pPr>
            <w:r w:rsidRPr="00F64D36">
              <w:rPr>
                <w:noProof/>
                <w:lang w:eastAsia="pl-PL"/>
              </w:rPr>
              <w:drawing>
                <wp:inline distT="0" distB="0" distL="0" distR="0" wp14:anchorId="5C5C81BA" wp14:editId="26B8D2CC">
                  <wp:extent cx="309600" cy="212400"/>
                  <wp:effectExtent l="0" t="0" r="0" b="0"/>
                  <wp:docPr id="54" name="Picture 52" descr="Pict_TK_Flagge_Slowakei.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2" descr="Pict_TK_Flagge_Slowakei.wmf"/>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9600" cy="212400"/>
                          </a:xfrm>
                          <a:prstGeom prst="rect">
                            <a:avLst/>
                          </a:prstGeom>
                          <a:noFill/>
                          <a:ln>
                            <a:noFill/>
                          </a:ln>
                          <a:extLst/>
                        </pic:spPr>
                      </pic:pic>
                    </a:graphicData>
                  </a:graphic>
                </wp:inline>
              </w:drawing>
            </w:r>
          </w:p>
        </w:tc>
        <w:tc>
          <w:tcPr>
            <w:tcW w:w="5526" w:type="dxa"/>
            <w:vAlign w:val="center"/>
          </w:tcPr>
          <w:p w14:paraId="7DBA9075" w14:textId="6F3D2A3B" w:rsidR="00415A82" w:rsidRPr="00961B46" w:rsidRDefault="00D85979" w:rsidP="003E5930">
            <w:pPr>
              <w:pStyle w:val="Normal1"/>
              <w:rPr>
                <w:highlight w:val="yellow"/>
                <w:lang w:val="pl-PL"/>
              </w:rPr>
            </w:pPr>
            <w:r w:rsidRPr="00D85979">
              <w:rPr>
                <w:lang w:val="pl-PL"/>
              </w:rPr>
              <w:t>Średnie miesięczne wydatki gospodarstw domowych na zużycie energii elektrycznej, gazu, ogrzewania i ciepłej wody stanowią znaczący udział w średnim miesięcznym dochodzie gospodarstwa domowego.</w:t>
            </w:r>
          </w:p>
        </w:tc>
        <w:tc>
          <w:tcPr>
            <w:tcW w:w="1985" w:type="dxa"/>
            <w:vAlign w:val="center"/>
          </w:tcPr>
          <w:p w14:paraId="5DCDB0DE" w14:textId="2D4FA7F9" w:rsidR="00415A82" w:rsidRPr="00D85979" w:rsidRDefault="00D85979" w:rsidP="003E5930">
            <w:pPr>
              <w:pStyle w:val="Normal1"/>
              <w:jc w:val="center"/>
              <w:rPr>
                <w:lang w:val="pl-PL"/>
              </w:rPr>
            </w:pPr>
            <w:r w:rsidRPr="00D85979">
              <w:rPr>
                <w:lang w:val="pl-PL"/>
              </w:rPr>
              <w:t>Regulacja 250/2012</w:t>
            </w:r>
          </w:p>
        </w:tc>
      </w:tr>
      <w:tr w:rsidR="00415A82" w:rsidRPr="007523D8" w14:paraId="2B14616D" w14:textId="77777777" w:rsidTr="00D85979">
        <w:tc>
          <w:tcPr>
            <w:tcW w:w="1288" w:type="dxa"/>
            <w:vAlign w:val="center"/>
          </w:tcPr>
          <w:p w14:paraId="2C0BA848" w14:textId="23EFDA95" w:rsidR="00415A82" w:rsidRDefault="002B1796" w:rsidP="003E5930">
            <w:pPr>
              <w:pStyle w:val="Normal1"/>
              <w:jc w:val="center"/>
              <w:rPr>
                <w:noProof/>
                <w:lang w:eastAsia="pl-PL"/>
              </w:rPr>
            </w:pPr>
            <w:r w:rsidRPr="002B1796">
              <w:rPr>
                <w:noProof/>
                <w:lang w:eastAsia="pl-PL"/>
              </w:rPr>
              <w:drawing>
                <wp:inline distT="0" distB="0" distL="0" distR="0" wp14:anchorId="43A15447" wp14:editId="5FC4AF50">
                  <wp:extent cx="313200" cy="212400"/>
                  <wp:effectExtent l="0" t="0" r="0" b="0"/>
                  <wp:docPr id="26" name="Picture 34" descr="engl.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Picture 34" descr="engl.wmf"/>
                          <pic:cNvPicPr>
                            <a:picLocks noChangeAspect="1"/>
                          </pic:cNvPicPr>
                        </pic:nvPicPr>
                        <pic:blipFill>
                          <a:blip r:embed="rId19" cstate="print"/>
                          <a:srcRect/>
                          <a:stretch>
                            <a:fillRect/>
                          </a:stretch>
                        </pic:blipFill>
                        <pic:spPr bwMode="auto">
                          <a:xfrm>
                            <a:off x="0" y="0"/>
                            <a:ext cx="313200" cy="212400"/>
                          </a:xfrm>
                          <a:prstGeom prst="rect">
                            <a:avLst/>
                          </a:prstGeom>
                          <a:noFill/>
                          <a:ln w="9525">
                            <a:noFill/>
                            <a:miter lim="800000"/>
                            <a:headEnd/>
                            <a:tailEnd/>
                          </a:ln>
                        </pic:spPr>
                      </pic:pic>
                    </a:graphicData>
                  </a:graphic>
                </wp:inline>
              </w:drawing>
            </w:r>
          </w:p>
        </w:tc>
        <w:tc>
          <w:tcPr>
            <w:tcW w:w="5526" w:type="dxa"/>
            <w:vAlign w:val="center"/>
          </w:tcPr>
          <w:p w14:paraId="56439AE9" w14:textId="0C8DDE4E" w:rsidR="00415A82" w:rsidRPr="00961B46" w:rsidRDefault="00D85979" w:rsidP="00BB3E6C">
            <w:pPr>
              <w:pStyle w:val="Normal1"/>
              <w:rPr>
                <w:rFonts w:eastAsia="Arial"/>
                <w:szCs w:val="20"/>
                <w:lang w:val="pl-PL"/>
              </w:rPr>
            </w:pPr>
            <w:r w:rsidRPr="00D85979">
              <w:rPr>
                <w:rFonts w:eastAsia="Arial"/>
                <w:szCs w:val="20"/>
                <w:lang w:val="pl-PL"/>
              </w:rPr>
              <w:t>Zgodnie z pierwszą definicją, ubogie energetycznie gospodarstwa domowe wydawały więcej niż 10% dochodów na energię</w:t>
            </w:r>
            <w:r w:rsidR="00BC6FBB">
              <w:rPr>
                <w:rStyle w:val="Odwoanieprzypisudolnego"/>
                <w:rFonts w:eastAsia="Arial"/>
                <w:szCs w:val="20"/>
                <w:lang w:val="pl-PL"/>
              </w:rPr>
              <w:footnoteReference w:id="1"/>
            </w:r>
            <w:r w:rsidRPr="00D85979">
              <w:rPr>
                <w:rFonts w:eastAsia="Arial"/>
                <w:szCs w:val="20"/>
                <w:lang w:val="pl-PL"/>
              </w:rPr>
              <w:t>. Według nowej definicji gospodarstwo domowe jest ubogie energetycznie jeżeli hipotetyczne koszty energii są wyższe niż krajowa mediana, a dochody gospodarstwa domowego znajduje się poniżej oficjalnego progu ubóstwa.</w:t>
            </w:r>
          </w:p>
        </w:tc>
        <w:tc>
          <w:tcPr>
            <w:tcW w:w="1985" w:type="dxa"/>
            <w:vAlign w:val="center"/>
          </w:tcPr>
          <w:p w14:paraId="1F98C50E" w14:textId="5E2A3E02" w:rsidR="00415A82" w:rsidRPr="00961B46" w:rsidRDefault="00F05586" w:rsidP="003E5930">
            <w:pPr>
              <w:pStyle w:val="Normal1"/>
              <w:jc w:val="center"/>
              <w:rPr>
                <w:rFonts w:eastAsia="Arial"/>
                <w:szCs w:val="20"/>
                <w:lang w:val="pl-PL"/>
              </w:rPr>
            </w:pPr>
            <w:hyperlink r:id="rId20" w:history="1">
              <w:r w:rsidR="00132E95" w:rsidRPr="00961B46">
                <w:rPr>
                  <w:rStyle w:val="Hipercze"/>
                  <w:rFonts w:eastAsia="Arial"/>
                  <w:szCs w:val="20"/>
                  <w:lang w:val="pl-PL"/>
                </w:rPr>
                <w:t>www.gov.uk</w:t>
              </w:r>
            </w:hyperlink>
          </w:p>
          <w:p w14:paraId="1E7C8C05" w14:textId="2A0A99FC" w:rsidR="00132E95" w:rsidRPr="00961B46" w:rsidRDefault="00F05586" w:rsidP="00132E95">
            <w:pPr>
              <w:pStyle w:val="Normal1"/>
              <w:jc w:val="center"/>
              <w:rPr>
                <w:highlight w:val="yellow"/>
                <w:lang w:val="pl-PL"/>
              </w:rPr>
            </w:pPr>
            <w:hyperlink r:id="rId21" w:history="1">
              <w:r w:rsidR="00132E95" w:rsidRPr="00961B46">
                <w:rPr>
                  <w:rStyle w:val="Hipercze"/>
                  <w:rFonts w:eastAsia="Arial"/>
                  <w:szCs w:val="20"/>
                  <w:lang w:val="pl-PL"/>
                </w:rPr>
                <w:t>www.poverty.org.uk</w:t>
              </w:r>
            </w:hyperlink>
          </w:p>
        </w:tc>
      </w:tr>
    </w:tbl>
    <w:p w14:paraId="4B25FDC9" w14:textId="3FF57384" w:rsidR="00EF2906" w:rsidRPr="00BC6FBB" w:rsidRDefault="00D85979" w:rsidP="003E5930">
      <w:pPr>
        <w:pStyle w:val="Normal1"/>
        <w:rPr>
          <w:i/>
          <w:sz w:val="18"/>
          <w:szCs w:val="18"/>
        </w:rPr>
      </w:pPr>
      <w:r w:rsidRPr="00BC6FBB">
        <w:rPr>
          <w:i/>
          <w:sz w:val="18"/>
          <w:szCs w:val="18"/>
        </w:rPr>
        <w:t>źródło: (INSIGHT_E, 2015) i własna analiza</w:t>
      </w:r>
    </w:p>
    <w:p w14:paraId="51F7891E" w14:textId="5F685538" w:rsidR="00F7286C" w:rsidRDefault="0070328A" w:rsidP="003E5930">
      <w:pPr>
        <w:pStyle w:val="Normal1"/>
        <w:rPr>
          <w:lang w:val="en-GB"/>
        </w:rPr>
      </w:pPr>
      <w:r>
        <w:br w:type="column"/>
      </w:r>
      <w:r w:rsidR="00D85979" w:rsidRPr="00D85979">
        <w:t>Zaprezentowane definicje zostaną wykorzystane jako punkt odniesienia dla określenia definicji ubóstwa energetycznego w Polsce. Wszystkie definicje ma</w:t>
      </w:r>
      <w:r w:rsidR="00D85979">
        <w:t>ją następujące wspólne elementy</w:t>
      </w:r>
      <w:r w:rsidR="0037156D">
        <w:rPr>
          <w:lang w:val="en-GB"/>
        </w:rPr>
        <w:t>:</w:t>
      </w:r>
    </w:p>
    <w:p w14:paraId="0FC54396" w14:textId="77777777" w:rsidR="00910472" w:rsidRPr="00910472" w:rsidRDefault="00910472" w:rsidP="00910472">
      <w:pPr>
        <w:pStyle w:val="Bullety"/>
      </w:pPr>
      <w:r w:rsidRPr="00910472">
        <w:t>Szerokie rozumienie usług energetycznych, obejmujących ogrzewanie, chłodzenie, oświetlenie i wykorzystanie urządzeń;</w:t>
      </w:r>
    </w:p>
    <w:p w14:paraId="1DBE8113" w14:textId="77777777" w:rsidR="00910472" w:rsidRPr="00910472" w:rsidRDefault="00910472" w:rsidP="00910472">
      <w:pPr>
        <w:pStyle w:val="Bullety"/>
      </w:pPr>
      <w:r w:rsidRPr="00910472">
        <w:t>Usługi energetyczne są podstawową potrzebą wszystkich obywateli;</w:t>
      </w:r>
    </w:p>
    <w:p w14:paraId="306A767E" w14:textId="409A3729" w:rsidR="00910472" w:rsidRPr="00910472" w:rsidRDefault="00910472" w:rsidP="00910472">
      <w:pPr>
        <w:pStyle w:val="Bullety"/>
      </w:pPr>
      <w:r w:rsidRPr="00910472">
        <w:t>Istnieje związek między ubóstwem energetycznym, problemami zdrowotnymi i wykluczeniem społecznym;</w:t>
      </w:r>
    </w:p>
    <w:p w14:paraId="7F508946" w14:textId="22906D77" w:rsidR="00910472" w:rsidRPr="00910472" w:rsidRDefault="00910472" w:rsidP="00910472">
      <w:pPr>
        <w:pStyle w:val="Bullety"/>
      </w:pPr>
      <w:r w:rsidRPr="00910472">
        <w:t xml:space="preserve">Ubóstwo energetyczne </w:t>
      </w:r>
      <w:r w:rsidR="00BC6FBB">
        <w:t>może mieć</w:t>
      </w:r>
      <w:r w:rsidRPr="00910472">
        <w:t xml:space="preserve"> trzy przyczyny: niskie dochody, wysokie ceny energii i niską efektywność energetyczną budynków;</w:t>
      </w:r>
    </w:p>
    <w:p w14:paraId="38BCBE0A" w14:textId="7D6A54EF" w:rsidR="00F7286C" w:rsidRPr="00910472" w:rsidRDefault="00910472" w:rsidP="00910472">
      <w:pPr>
        <w:pStyle w:val="Bullety"/>
      </w:pPr>
      <w:r w:rsidRPr="00910472">
        <w:t>W definicjach wykorzystywane są medianowe a nie średnie dochody i wydatki.</w:t>
      </w:r>
    </w:p>
    <w:p w14:paraId="59320D17" w14:textId="3729F716" w:rsidR="00927A86" w:rsidRPr="00345CEF" w:rsidRDefault="00345CEF" w:rsidP="00D9053C">
      <w:pPr>
        <w:pStyle w:val="Nagwek11"/>
      </w:pPr>
      <w:bookmarkStart w:id="17" w:name="_Toc528189732"/>
      <w:r w:rsidRPr="00345CEF">
        <w:t>Wybór definicji ubóstwa energetycznego</w:t>
      </w:r>
      <w:bookmarkEnd w:id="17"/>
    </w:p>
    <w:p w14:paraId="56349261" w14:textId="69FD6377" w:rsidR="007C0F05" w:rsidRDefault="00755BA7" w:rsidP="003E5930">
      <w:pPr>
        <w:pStyle w:val="Normal1"/>
      </w:pPr>
      <w:r w:rsidRPr="00787EC0">
        <w:t>W rozdziale omawiamy różne podejścia i sposoby do zdefiniowania ubóstwa energetycznego w Polsce. Po pierwsze, ubóstwo energetyczne można rozumieć na poziomie ogólnym lub szczegółowym. Następnie, definicja może być stosowana do porównań pomiędzy narodami lub do opisania kontekstu w jednym kraju. Podobieństwa między krajami wynikają z ogólnego zrozumienia ubóstwa energetycznego jako braku dostępu do odpowiednich usług energetycznych. Różnice w analizie</w:t>
      </w:r>
      <w:r w:rsidR="00787EC0" w:rsidRPr="00787EC0">
        <w:t xml:space="preserve"> porównawczej</w:t>
      </w:r>
      <w:r w:rsidRPr="00787EC0">
        <w:t xml:space="preserve"> między krajami wynikają z </w:t>
      </w:r>
      <w:r w:rsidR="00787EC0">
        <w:t xml:space="preserve">odmiennych </w:t>
      </w:r>
      <w:r w:rsidR="00787EC0" w:rsidRPr="00787EC0">
        <w:t>warunków</w:t>
      </w:r>
      <w:r w:rsidRPr="00787EC0">
        <w:t xml:space="preserve"> społeczn</w:t>
      </w:r>
      <w:r w:rsidR="00787EC0" w:rsidRPr="00787EC0">
        <w:t>ych i gospodarczych, np. poziom</w:t>
      </w:r>
      <w:r w:rsidR="007C0F05">
        <w:t>u dochodów/</w:t>
      </w:r>
      <w:r w:rsidRPr="00787EC0">
        <w:t>wydatków, charakterysty</w:t>
      </w:r>
      <w:r w:rsidR="007C0F05">
        <w:t>ki</w:t>
      </w:r>
      <w:r w:rsidRPr="00787EC0">
        <w:t xml:space="preserve"> sektora energetycznego i rynku</w:t>
      </w:r>
      <w:r w:rsidR="007C0F05">
        <w:t xml:space="preserve"> energii</w:t>
      </w:r>
      <w:r w:rsidRPr="00787EC0">
        <w:t xml:space="preserve">, </w:t>
      </w:r>
      <w:r w:rsidR="007C0F05">
        <w:t>albo</w:t>
      </w:r>
      <w:r w:rsidRPr="00787EC0">
        <w:t xml:space="preserve"> subiektywn</w:t>
      </w:r>
      <w:r w:rsidR="007C0F05">
        <w:t>ego odczuwania</w:t>
      </w:r>
      <w:r w:rsidRPr="00787EC0">
        <w:t xml:space="preserve"> komfortu cieplnego. Dlatego </w:t>
      </w:r>
      <w:r w:rsidR="007C0F05">
        <w:t>zdefiniowanie</w:t>
      </w:r>
      <w:r w:rsidRPr="00787EC0">
        <w:t xml:space="preserve"> ubóstwa energetycznego stanowi dwojaki problem, </w:t>
      </w:r>
      <w:r w:rsidR="007C0F05">
        <w:t xml:space="preserve">z jednej strony </w:t>
      </w:r>
      <w:r w:rsidRPr="00787EC0">
        <w:t>wybór ogólnej definicji pozwala na porównywalność</w:t>
      </w:r>
      <w:r w:rsidR="007C0F05">
        <w:t xml:space="preserve"> pomiędzy krajami</w:t>
      </w:r>
      <w:r w:rsidRPr="00787EC0">
        <w:t xml:space="preserve">, synergię w planowaniu i wdrażaniu polityk, ale </w:t>
      </w:r>
      <w:r w:rsidR="007C0F05">
        <w:t xml:space="preserve">z drugiej strony, </w:t>
      </w:r>
      <w:r w:rsidRPr="00787EC0">
        <w:t xml:space="preserve">utrudnia uchwycenie specyficznego kontekstu ubóstwa energetycznego w danym kraju. </w:t>
      </w:r>
      <w:r w:rsidR="007C0F05">
        <w:t>W przypadku kiedy administracja wybiera pomiędzy ogólną i szczegółową definicją, potencjal</w:t>
      </w:r>
      <w:r w:rsidR="0070328A">
        <w:t>nie traci korzyści jednego ze sposobów</w:t>
      </w:r>
      <w:r w:rsidR="007C0F05">
        <w:t xml:space="preserve"> zdefiniowania problemu.</w:t>
      </w:r>
    </w:p>
    <w:p w14:paraId="3A1F6D78" w14:textId="77777777" w:rsidR="0070328A" w:rsidRDefault="007C0F05" w:rsidP="003E5930">
      <w:pPr>
        <w:pStyle w:val="Normal1"/>
      </w:pPr>
      <w:r>
        <w:t>W dalszej części rozdziału krytycznie oceniamy korzyści płynące z podejścia ogólnego i szczegółowego. Naszym podstawowym założeniem jest dostosowanie definicji ubóstwa energetycznego do celu, któremu miałaby</w:t>
      </w:r>
      <w:r w:rsidR="0070328A">
        <w:t xml:space="preserve"> ona </w:t>
      </w:r>
      <w:r>
        <w:t>służyć. Dlatego</w:t>
      </w:r>
      <w:r w:rsidR="0070328A">
        <w:t>,</w:t>
      </w:r>
      <w:r>
        <w:t xml:space="preserve"> </w:t>
      </w:r>
      <w:r w:rsidRPr="007C0F05">
        <w:t>definicja optymalna d</w:t>
      </w:r>
      <w:r>
        <w:t>o</w:t>
      </w:r>
      <w:r w:rsidRPr="007C0F05">
        <w:t xml:space="preserve"> planowania polityki na szczeblu krajowym lub regionalnym może różnić się od definicji </w:t>
      </w:r>
      <w:r>
        <w:t>dostosowanej do prowadzenia</w:t>
      </w:r>
      <w:r w:rsidRPr="007C0F05">
        <w:t xml:space="preserve"> badań </w:t>
      </w:r>
      <w:r>
        <w:t>naukowych</w:t>
      </w:r>
      <w:r w:rsidRPr="007C0F05">
        <w:t xml:space="preserve">. </w:t>
      </w:r>
    </w:p>
    <w:p w14:paraId="42E4CE60" w14:textId="62B760B8" w:rsidR="007C0F05" w:rsidRDefault="0070328A" w:rsidP="003E5930">
      <w:pPr>
        <w:pStyle w:val="Normal1"/>
      </w:pPr>
      <w:r>
        <w:t>P</w:t>
      </w:r>
      <w:r w:rsidR="007C0F05">
        <w:t xml:space="preserve">rzedstawiamy i oceniamy </w:t>
      </w:r>
      <w:r w:rsidR="007C0F05" w:rsidRPr="007C0F05">
        <w:t>trzy potencjalne definicje ubóstwa energetycznego w Polsce.</w:t>
      </w:r>
    </w:p>
    <w:p w14:paraId="5601B4F4" w14:textId="13A08024" w:rsidR="00A70D68" w:rsidRPr="007C0F05" w:rsidRDefault="007C0F05" w:rsidP="00D9053C">
      <w:pPr>
        <w:pStyle w:val="Nagwek2"/>
        <w:spacing w:line="276" w:lineRule="auto"/>
      </w:pPr>
      <w:bookmarkStart w:id="18" w:name="_Toc528189733"/>
      <w:r w:rsidRPr="007C0F05">
        <w:t>Ogólna definicja</w:t>
      </w:r>
      <w:bookmarkEnd w:id="18"/>
    </w:p>
    <w:p w14:paraId="22427066" w14:textId="300661AA" w:rsidR="006B4A72" w:rsidRDefault="006B4A72" w:rsidP="1F8F1CB4">
      <w:pPr>
        <w:pStyle w:val="Normal1"/>
      </w:pPr>
      <w:r>
        <w:t>Postępująca globalizacji rynków energii oraz polityk mających przeciwdziałać zmianom klimatu przemawia na korzyść ogólnej definicji ubóstwa energetycznego.</w:t>
      </w:r>
      <w:r w:rsidRPr="006B4A72">
        <w:t xml:space="preserve"> Bouzarovski i Petrova (2015)</w:t>
      </w:r>
      <w:r>
        <w:t xml:space="preserve"> </w:t>
      </w:r>
      <w:r w:rsidRPr="006B4A72">
        <w:t>przytaczają</w:t>
      </w:r>
      <w:r>
        <w:t xml:space="preserve"> wzrost rozpoznawalności i zrozumienia problemu, jako</w:t>
      </w:r>
      <w:r w:rsidRPr="006B4A72">
        <w:t xml:space="preserve"> najważniejsze argumenty przemawiające za </w:t>
      </w:r>
      <w:r>
        <w:t>ogólną definicją ubóstwa energetycznego na poziomie</w:t>
      </w:r>
      <w:r w:rsidRPr="006B4A72">
        <w:t xml:space="preserve"> unijn</w:t>
      </w:r>
      <w:r>
        <w:t>ym. Omawiamy główne wnioski z cytowanej publikacji oraz dodajemy inne elementy mogące mieć znaczenie w polskim kontekście:</w:t>
      </w:r>
    </w:p>
    <w:p w14:paraId="07A2D30E" w14:textId="2C13CE5F" w:rsidR="00C10770" w:rsidRPr="006B4A72" w:rsidRDefault="006B4A72" w:rsidP="003E5930">
      <w:pPr>
        <w:pStyle w:val="Bullety"/>
      </w:pPr>
      <w:r w:rsidRPr="006B4A72">
        <w:t xml:space="preserve">Ogólna definicja ubóstwa energetycznego </w:t>
      </w:r>
      <w:r w:rsidR="001B3B57">
        <w:t>właściwa do</w:t>
      </w:r>
      <w:r>
        <w:t xml:space="preserve"> porównań między krajami członkowskimi </w:t>
      </w:r>
      <w:r w:rsidRPr="006B4A72">
        <w:t>UE może sprawić, że problem zyska priorytet w politykach państw członkowskich.</w:t>
      </w:r>
      <w:r w:rsidR="00F27636" w:rsidRPr="006B4A72">
        <w:t xml:space="preserve"> </w:t>
      </w:r>
    </w:p>
    <w:p w14:paraId="1ADC4F84" w14:textId="0EE0CE15" w:rsidR="006B4A72" w:rsidRPr="006B4A72" w:rsidRDefault="006B4A72" w:rsidP="003E5930">
      <w:pPr>
        <w:pStyle w:val="Normal1"/>
      </w:pPr>
      <w:r w:rsidRPr="006B4A72">
        <w:t xml:space="preserve">Chociaż ubóstwo energetyczne </w:t>
      </w:r>
      <w:r>
        <w:t>zyskuje uwagę polityków, co potwierdza stosowanie oficjalnych definicji (rozdział 2.1. raportu), problem ubóstwa energetycznego wciąż nie z</w:t>
      </w:r>
      <w:r w:rsidR="00E30D91">
        <w:t xml:space="preserve">ostał wystarczająco opisany z uwagi na ograniczony dostęp do odpowiednich informacji i statystyk. Oprócz kilku inicjatyw, takich jak </w:t>
      </w:r>
      <w:r w:rsidRPr="006B4A72">
        <w:t>Europejskie Obserwatorium Ubóstwa Energetycznego</w:t>
      </w:r>
      <w:r w:rsidR="00E30D91">
        <w:t>, które</w:t>
      </w:r>
      <w:r w:rsidRPr="006B4A72">
        <w:t xml:space="preserve"> promuje wiedzę na temat ubóstwa energetycznego, </w:t>
      </w:r>
      <w:r w:rsidR="00E30D91">
        <w:t>lub sieć ekspertów ENGAGER</w:t>
      </w:r>
      <w:r w:rsidRPr="006B4A72">
        <w:t xml:space="preserve">, ubóstwo energetyczne </w:t>
      </w:r>
      <w:r w:rsidR="00E30D91">
        <w:t xml:space="preserve">jest nieobecne w szerokiej debacie społecznej. </w:t>
      </w:r>
      <w:r w:rsidRPr="006B4A72">
        <w:t xml:space="preserve">Dlatego ogólna definicja może pomóc w promowaniu </w:t>
      </w:r>
      <w:r w:rsidR="00E30D91">
        <w:t xml:space="preserve">właściwego </w:t>
      </w:r>
      <w:r w:rsidRPr="006B4A72">
        <w:t xml:space="preserve">zrozumienia problemu. Zwiększenie </w:t>
      </w:r>
      <w:r w:rsidR="00E30D91">
        <w:t>priorytetu walki z ubóstwem energetycznym</w:t>
      </w:r>
      <w:r w:rsidRPr="006B4A72">
        <w:t xml:space="preserve"> może spowodować </w:t>
      </w:r>
      <w:r w:rsidR="00E30D91">
        <w:t>stworzenie</w:t>
      </w:r>
      <w:r w:rsidRPr="006B4A72">
        <w:t xml:space="preserve"> mechanizmów </w:t>
      </w:r>
      <w:r w:rsidR="00E30D91">
        <w:t xml:space="preserve">wsparcia oraz uruchomienie </w:t>
      </w:r>
      <w:r w:rsidRPr="006B4A72">
        <w:t>dodatkowego finansowania (również na poziomie UE).</w:t>
      </w:r>
    </w:p>
    <w:p w14:paraId="3B23F8CC" w14:textId="2B548963" w:rsidR="000C0851" w:rsidRPr="00D93476" w:rsidRDefault="000C0851" w:rsidP="00D93476">
      <w:pPr>
        <w:pStyle w:val="Bullety"/>
      </w:pPr>
      <w:r>
        <w:t>Zdefiniowanie</w:t>
      </w:r>
      <w:r w:rsidRPr="000C0851">
        <w:t xml:space="preserve"> ubóstwa energetycznego jako</w:t>
      </w:r>
      <w:r>
        <w:t xml:space="preserve"> ogólnego</w:t>
      </w:r>
      <w:r w:rsidRPr="000C0851">
        <w:t xml:space="preserve"> problemu </w:t>
      </w:r>
      <w:r>
        <w:t>społecznego i politycznego</w:t>
      </w:r>
      <w:r w:rsidRPr="000C0851">
        <w:t xml:space="preserve"> może </w:t>
      </w:r>
      <w:r>
        <w:t>tworzyć synergie</w:t>
      </w:r>
      <w:r w:rsidRPr="000C0851">
        <w:t xml:space="preserve"> między administracj</w:t>
      </w:r>
      <w:r w:rsidR="00D93476">
        <w:t>ą.</w:t>
      </w:r>
    </w:p>
    <w:p w14:paraId="5E5A8D75" w14:textId="24F375B6" w:rsidR="00D93476" w:rsidRDefault="00D93476" w:rsidP="00D9053C">
      <w:pPr>
        <w:pStyle w:val="Bullety"/>
        <w:numPr>
          <w:ilvl w:val="0"/>
          <w:numId w:val="0"/>
        </w:numPr>
      </w:pPr>
      <w:r w:rsidRPr="00D93476">
        <w:t>W Polsce</w:t>
      </w:r>
      <w:r>
        <w:t xml:space="preserve"> </w:t>
      </w:r>
      <w:r w:rsidR="001B3B57">
        <w:t>wdrażane są</w:t>
      </w:r>
      <w:r>
        <w:t xml:space="preserve"> pierwsze</w:t>
      </w:r>
      <w:r w:rsidRPr="00D93476">
        <w:t xml:space="preserve"> programy </w:t>
      </w:r>
      <w:r>
        <w:t>wsparcia inwestycji w</w:t>
      </w:r>
      <w:r w:rsidRPr="00D93476">
        <w:t xml:space="preserve"> efektywność energetyczną</w:t>
      </w:r>
      <w:r>
        <w:t xml:space="preserve"> i termomodernizację</w:t>
      </w:r>
      <w:r w:rsidRPr="00D93476">
        <w:t xml:space="preserve">, np. </w:t>
      </w:r>
      <w:r>
        <w:t>p</w:t>
      </w:r>
      <w:r w:rsidRPr="00D93476">
        <w:t xml:space="preserve">rogram </w:t>
      </w:r>
      <w:r>
        <w:t>„</w:t>
      </w:r>
      <w:r w:rsidRPr="00D93476">
        <w:t>Czyste powietrze</w:t>
      </w:r>
      <w:r>
        <w:t>”</w:t>
      </w:r>
      <w:r>
        <w:rPr>
          <w:rStyle w:val="Odwoanieprzypisudolnego"/>
          <w:lang w:val="en-GB"/>
        </w:rPr>
        <w:footnoteReference w:id="2"/>
      </w:r>
      <w:r w:rsidRPr="00D93476">
        <w:t xml:space="preserve"> koordynowan</w:t>
      </w:r>
      <w:r>
        <w:t>y przez ministerstwo środowiska. Realizacja założeń programu może wpływać na redukcję ubóstwa energetycznego.</w:t>
      </w:r>
      <w:r w:rsidRPr="00D93476">
        <w:t xml:space="preserve"> </w:t>
      </w:r>
      <w:r>
        <w:t>Właściwa definicja problemu może pomóc w osiągnięciu synergii pomiędzy administracją krajową, regionalną i lokalną, a także między ministerstwami (np. Ministerstwem Energii i Ministerstwem Przedsiębiorczości i Technologii).</w:t>
      </w:r>
    </w:p>
    <w:p w14:paraId="354FA32D" w14:textId="48478C0D" w:rsidR="00D93476" w:rsidRPr="00D93476" w:rsidRDefault="00D93476" w:rsidP="003E5930">
      <w:pPr>
        <w:pStyle w:val="Bullety"/>
      </w:pPr>
      <w:r w:rsidRPr="00D93476">
        <w:t>Ogólna definicja może rozwiąz</w:t>
      </w:r>
      <w:r>
        <w:t>ać problem niezrozumiałych lub</w:t>
      </w:r>
      <w:r w:rsidRPr="00D93476">
        <w:t xml:space="preserve"> sprzecznych definicji ubóstwa energetycznego wykorzystywanych przez różne instytucje </w:t>
      </w:r>
      <w:r w:rsidR="00142D8C">
        <w:t>i ośrodki badawcze</w:t>
      </w:r>
      <w:r w:rsidRPr="00D93476">
        <w:t>.</w:t>
      </w:r>
    </w:p>
    <w:p w14:paraId="5C2057B0" w14:textId="54243480" w:rsidR="00142D8C" w:rsidRDefault="00142D8C" w:rsidP="003E5930">
      <w:pPr>
        <w:pStyle w:val="Normal1"/>
      </w:pPr>
      <w:r w:rsidRPr="00142D8C">
        <w:t>Brak jasności i</w:t>
      </w:r>
      <w:r w:rsidR="001B3B57">
        <w:t xml:space="preserve"> właściwego</w:t>
      </w:r>
      <w:r w:rsidRPr="00142D8C">
        <w:t xml:space="preserve"> zrozumienia ubóstwa energetycznego</w:t>
      </w:r>
      <w:r>
        <w:t xml:space="preserve"> może prowadzić do niedokładnego mierzenia </w:t>
      </w:r>
      <w:r w:rsidR="001B3B57">
        <w:t>skali</w:t>
      </w:r>
      <w:r>
        <w:t xml:space="preserve"> lub</w:t>
      </w:r>
      <w:r w:rsidR="001B3B57">
        <w:t xml:space="preserve"> niewłaściwej</w:t>
      </w:r>
      <w:r>
        <w:t xml:space="preserve"> identyfikacji ubogich energetycznie gospodarstw domowych. Miało to miejsce w przypadku </w:t>
      </w:r>
      <w:r w:rsidR="001B3B57">
        <w:t>„</w:t>
      </w:r>
      <w:r>
        <w:t>progu</w:t>
      </w:r>
      <w:r w:rsidR="001B3B57">
        <w:t xml:space="preserve"> 10%”</w:t>
      </w:r>
      <w:r>
        <w:t xml:space="preserve"> ubóstwa energetycznego, który nie został</w:t>
      </w:r>
      <w:r w:rsidR="001B3B57">
        <w:t xml:space="preserve"> odpowiednio</w:t>
      </w:r>
      <w:r>
        <w:t xml:space="preserve"> dostosowany do rzeczywistych wydatków na energię</w:t>
      </w:r>
      <w:r w:rsidR="001B3B57">
        <w:t xml:space="preserve"> w innych krajach</w:t>
      </w:r>
      <w:r>
        <w:t xml:space="preserve"> (Linddell et al., 2012 r.; Moore, 2012;</w:t>
      </w:r>
      <w:r w:rsidRPr="00142D8C">
        <w:t xml:space="preserve"> Bouzarovski i Petrova, 2015</w:t>
      </w:r>
      <w:r>
        <w:t>).</w:t>
      </w:r>
    </w:p>
    <w:p w14:paraId="121873A4" w14:textId="4CD7461A" w:rsidR="009B69BD" w:rsidRPr="00804FC2" w:rsidRDefault="00804FC2" w:rsidP="00D9053C">
      <w:pPr>
        <w:pStyle w:val="Nagwek2"/>
        <w:spacing w:line="276" w:lineRule="auto"/>
      </w:pPr>
      <w:bookmarkStart w:id="19" w:name="_Toc528189734"/>
      <w:r w:rsidRPr="00804FC2">
        <w:t>Szczegółowa definicja</w:t>
      </w:r>
      <w:bookmarkEnd w:id="19"/>
    </w:p>
    <w:p w14:paraId="49E665F5" w14:textId="2A2949B1" w:rsidR="00852D4B" w:rsidRPr="00852D4B" w:rsidRDefault="001B583C" w:rsidP="54C54C83">
      <w:pPr>
        <w:pStyle w:val="Normal1"/>
      </w:pPr>
      <w:r w:rsidRPr="00852D4B">
        <w:t>Ogólna definicja może</w:t>
      </w:r>
      <w:r w:rsidR="00852D4B" w:rsidRPr="00852D4B">
        <w:t xml:space="preserve"> okazać się niewystarczająca do uchwycenia specyficznego krajowego kontekstu ubóstwa energetycznego. Może być to spowodowane niewystarczającą jakością i dostępnością danych</w:t>
      </w:r>
      <w:r w:rsidR="00852D4B">
        <w:t>, co prowadzi do ograniczonej porównywalności zjawiska oraz zbytniego przywiązania do raz objętej strategii zwalczania ubóstwa (</w:t>
      </w:r>
      <w:r w:rsidR="00852D4B" w:rsidRPr="00142D8C">
        <w:t>Bouzarovski i Petrova, 2015</w:t>
      </w:r>
      <w:r w:rsidR="00852D4B">
        <w:t>).</w:t>
      </w:r>
    </w:p>
    <w:p w14:paraId="072DC962" w14:textId="488B9FB6" w:rsidR="00852D4B" w:rsidRPr="00852D4B" w:rsidRDefault="00852D4B" w:rsidP="00D9053C">
      <w:pPr>
        <w:pStyle w:val="Bullety"/>
      </w:pPr>
      <w:r w:rsidRPr="00852D4B">
        <w:t>Wiedza na temat ubóstwa energetycznego jest ograniczona. Problem wymaga usystematyzowanej analizy ubóstwa energetycznego w każdym kraju, z uwzględnieniem jego specyfiki.</w:t>
      </w:r>
    </w:p>
    <w:p w14:paraId="70775A4C" w14:textId="0BFF06B8" w:rsidR="00852D4B" w:rsidRPr="00852D4B" w:rsidRDefault="00852D4B" w:rsidP="00D9053C">
      <w:pPr>
        <w:pStyle w:val="Bullety"/>
        <w:numPr>
          <w:ilvl w:val="0"/>
          <w:numId w:val="0"/>
        </w:numPr>
      </w:pPr>
      <w:r>
        <w:t>Ograniczona wiedza na temat ubóstwa energetycznego wynika głównie z jakości i dostępności danych, szczególnie</w:t>
      </w:r>
      <w:r w:rsidRPr="00852D4B">
        <w:t xml:space="preserve"> w zakresi</w:t>
      </w:r>
      <w:r>
        <w:t>e wymaganego zużycia energii i kosztów oraz trudności do uchwycenia</w:t>
      </w:r>
      <w:r w:rsidRPr="00852D4B">
        <w:t xml:space="preserve"> różnic społeczn</w:t>
      </w:r>
      <w:r>
        <w:t xml:space="preserve">ych i </w:t>
      </w:r>
      <w:r w:rsidRPr="00852D4B">
        <w:t>ekonomicznych (</w:t>
      </w:r>
      <w:r>
        <w:t xml:space="preserve">różnice w </w:t>
      </w:r>
      <w:r w:rsidRPr="00852D4B">
        <w:t>poziom</w:t>
      </w:r>
      <w:r>
        <w:t>ach dochodów</w:t>
      </w:r>
      <w:r w:rsidRPr="00852D4B">
        <w:t xml:space="preserve">/wydatków </w:t>
      </w:r>
      <w:r>
        <w:t>czy w</w:t>
      </w:r>
      <w:r w:rsidRPr="00852D4B">
        <w:t xml:space="preserve"> postrzegani</w:t>
      </w:r>
      <w:r>
        <w:t>u</w:t>
      </w:r>
      <w:r w:rsidRPr="00852D4B">
        <w:t xml:space="preserve"> komfortu cieplnego). </w:t>
      </w:r>
      <w:r>
        <w:t>Szczegółowy</w:t>
      </w:r>
      <w:r w:rsidRPr="00852D4B">
        <w:t xml:space="preserve"> model szacowania </w:t>
      </w:r>
      <w:r>
        <w:t>hipotetycznego zużycia energii funkcjonuje tylko w Wielkiej Brytanii. M</w:t>
      </w:r>
      <w:r w:rsidRPr="00852D4B">
        <w:t xml:space="preserve">odel BREDEM określa </w:t>
      </w:r>
      <w:r>
        <w:t xml:space="preserve">wymagane </w:t>
      </w:r>
      <w:r w:rsidRPr="00852D4B">
        <w:t>zużyci</w:t>
      </w:r>
      <w:r>
        <w:t>e</w:t>
      </w:r>
      <w:r w:rsidRPr="00852D4B">
        <w:t xml:space="preserve"> energii w gospodarstwach domowych (Henderson i Hart 2015). Szczegółowa definicja </w:t>
      </w:r>
      <w:r>
        <w:t xml:space="preserve">ubóstwa energetycznego </w:t>
      </w:r>
      <w:r w:rsidRPr="00852D4B">
        <w:t xml:space="preserve">może umożliwić wdrożenie podobnej metodologii w Polsce w celu </w:t>
      </w:r>
      <w:r w:rsidR="00D81879">
        <w:t>dokładniejszego</w:t>
      </w:r>
      <w:r w:rsidRPr="00852D4B">
        <w:t xml:space="preserve"> pomiaru ubóstwa energetycznego.</w:t>
      </w:r>
    </w:p>
    <w:p w14:paraId="4773E3EA" w14:textId="0F889B5B" w:rsidR="00D81879" w:rsidRPr="00D81879" w:rsidRDefault="00D81879" w:rsidP="00D9053C">
      <w:pPr>
        <w:pStyle w:val="Bullety"/>
      </w:pPr>
      <w:r w:rsidRPr="00D81879">
        <w:t>Zbyt ogólna definicja może negatywnie wpłynąć na ist</w:t>
      </w:r>
      <w:r>
        <w:t>otność problemu.</w:t>
      </w:r>
    </w:p>
    <w:p w14:paraId="548D59FB" w14:textId="51B169C1" w:rsidR="002838FF" w:rsidRPr="00CE474D" w:rsidRDefault="00D81879" w:rsidP="003E5930">
      <w:pPr>
        <w:pStyle w:val="Normal1"/>
      </w:pPr>
      <w:r>
        <w:t xml:space="preserve">Ogólna definicja powinna </w:t>
      </w:r>
      <w:r w:rsidRPr="00D81879">
        <w:t>uwzględni</w:t>
      </w:r>
      <w:r>
        <w:t>a</w:t>
      </w:r>
      <w:r w:rsidRPr="00D81879">
        <w:t xml:space="preserve">ć </w:t>
      </w:r>
      <w:r>
        <w:t>jak najwięcej aspektów</w:t>
      </w:r>
      <w:r w:rsidRPr="00D81879">
        <w:t xml:space="preserve"> ubóstwa energetycznego.</w:t>
      </w:r>
      <w:r>
        <w:t xml:space="preserve"> </w:t>
      </w:r>
      <w:r w:rsidRPr="00D81879">
        <w:t>Zwiększa to</w:t>
      </w:r>
      <w:r w:rsidR="001B3B57">
        <w:t xml:space="preserve"> jednocześnie</w:t>
      </w:r>
      <w:r w:rsidRPr="00D81879">
        <w:t xml:space="preserve"> ryzyko, że definicja </w:t>
      </w:r>
      <w:r>
        <w:t xml:space="preserve">nie będzie zawierała żadnej </w:t>
      </w:r>
      <w:r w:rsidRPr="00D81879">
        <w:t>konkretnej charakterystyki ubóstwa energetycznego</w:t>
      </w:r>
      <w:r>
        <w:t xml:space="preserve">. W takim wypadku, definicja okaże się nieprzydatna </w:t>
      </w:r>
      <w:r w:rsidRPr="00D81879">
        <w:t>w planowaniu polityki</w:t>
      </w:r>
      <w:r>
        <w:t xml:space="preserve"> wsparcia,</w:t>
      </w:r>
      <w:r w:rsidRPr="00D81879">
        <w:t xml:space="preserve"> ponieważ nie pozwoli na </w:t>
      </w:r>
      <w:r>
        <w:t>właściwą</w:t>
      </w:r>
      <w:r w:rsidRPr="00D81879">
        <w:t xml:space="preserve"> identyfikację ubogich energetycznie gospodarstw domowych. </w:t>
      </w:r>
      <w:r>
        <w:t>Ogólna definicja może zatem doprowadzić do nadmiernej generalizacji problemu.</w:t>
      </w:r>
    </w:p>
    <w:p w14:paraId="3A9C341F" w14:textId="29914DAD" w:rsidR="00551B4B" w:rsidRDefault="00551B4B" w:rsidP="00D9053C">
      <w:pPr>
        <w:pStyle w:val="Bullety"/>
      </w:pPr>
      <w:r>
        <w:t>Modyfikacja obranej strategii opartej o ogólną definicję może być trudna lub niemożliwa.</w:t>
      </w:r>
    </w:p>
    <w:p w14:paraId="6DEE011A" w14:textId="20882CA7" w:rsidR="00551B4B" w:rsidRPr="00551B4B" w:rsidRDefault="00551B4B" w:rsidP="54C54C83">
      <w:pPr>
        <w:pStyle w:val="Bullety"/>
        <w:numPr>
          <w:ilvl w:val="0"/>
          <w:numId w:val="0"/>
        </w:numPr>
      </w:pPr>
      <w:r>
        <w:t>J</w:t>
      </w:r>
      <w:r w:rsidRPr="00551B4B">
        <w:t xml:space="preserve">est to widoczne na przykładzie Wielkiej Brytanii, gdzie </w:t>
      </w:r>
      <w:r w:rsidR="001B3B57">
        <w:t>„</w:t>
      </w:r>
      <w:r>
        <w:t xml:space="preserve">próg </w:t>
      </w:r>
      <w:r w:rsidR="001B3B57" w:rsidRPr="00551B4B">
        <w:t>10%</w:t>
      </w:r>
      <w:r w:rsidR="001B3B57">
        <w:t xml:space="preserve">” </w:t>
      </w:r>
      <w:r>
        <w:t>ubóstwa oraz ogólna</w:t>
      </w:r>
      <w:r w:rsidRPr="00551B4B">
        <w:t xml:space="preserve"> definicja </w:t>
      </w:r>
      <w:r>
        <w:t>były wykorzystywane w</w:t>
      </w:r>
      <w:r w:rsidRPr="00551B4B">
        <w:t xml:space="preserve"> latach 2001-2013 (Bouzarovski i Petrova, 2015). </w:t>
      </w:r>
      <w:r>
        <w:t xml:space="preserve">Szczegółowa definicja wraz z </w:t>
      </w:r>
      <w:r w:rsidR="001B3B57">
        <w:t xml:space="preserve">bezpośrednią </w:t>
      </w:r>
      <w:r>
        <w:t>możliwośc</w:t>
      </w:r>
      <w:r w:rsidR="001B3B57">
        <w:t>ią jej modyfikowania</w:t>
      </w:r>
      <w:r>
        <w:t xml:space="preserve"> na odpowiednim szczeblu administracji</w:t>
      </w:r>
      <w:r w:rsidRPr="00551B4B">
        <w:t xml:space="preserve"> może rozwiązać problem </w:t>
      </w:r>
      <w:r>
        <w:t>zbytniej zależności od raz obranej strategii.</w:t>
      </w:r>
    </w:p>
    <w:p w14:paraId="5D4EAE38" w14:textId="2DE877D5" w:rsidR="009B69BD" w:rsidRPr="00551B4B" w:rsidRDefault="00551B4B" w:rsidP="00D9053C">
      <w:pPr>
        <w:pStyle w:val="Nagwek2"/>
        <w:spacing w:line="276" w:lineRule="auto"/>
      </w:pPr>
      <w:bookmarkStart w:id="20" w:name="_Toc528189735"/>
      <w:r w:rsidRPr="00551B4B">
        <w:t>Rekomendacje</w:t>
      </w:r>
      <w:bookmarkEnd w:id="20"/>
      <w:r w:rsidR="009B69BD" w:rsidRPr="00551B4B">
        <w:t xml:space="preserve"> </w:t>
      </w:r>
    </w:p>
    <w:p w14:paraId="6E9CE02B" w14:textId="177B1993" w:rsidR="00551B4B" w:rsidRDefault="00551B4B" w:rsidP="00551B4B">
      <w:pPr>
        <w:pStyle w:val="Normal1"/>
      </w:pPr>
      <w:r>
        <w:t xml:space="preserve">W rozdziale przedstawiamy </w:t>
      </w:r>
      <w:r w:rsidRPr="00551B4B">
        <w:t xml:space="preserve">trzy definicje, które są spójne z metodologią opisaną w </w:t>
      </w:r>
      <w:r>
        <w:t>Produkcie</w:t>
      </w:r>
      <w:r w:rsidRPr="00551B4B">
        <w:t xml:space="preserve"> 2a </w:t>
      </w:r>
      <w:r w:rsidRPr="005B5915">
        <w:rPr>
          <w:i/>
        </w:rPr>
        <w:t>Lista wskaźników ubóstwa energetycznego</w:t>
      </w:r>
      <w:r w:rsidRPr="00551B4B">
        <w:t xml:space="preserve"> i 2b </w:t>
      </w:r>
      <w:r w:rsidRPr="005B5915">
        <w:rPr>
          <w:i/>
        </w:rPr>
        <w:t>Ocena jakości danych i wskaźników ubóstwa energetycznego</w:t>
      </w:r>
      <w:r w:rsidRPr="00551B4B">
        <w:t>.</w:t>
      </w:r>
      <w:r>
        <w:t xml:space="preserve"> Analiza pozwoli na rekomendację optymalnej definicji ubóstwa energetycznego w Polsce.</w:t>
      </w:r>
    </w:p>
    <w:p w14:paraId="5DD07A41" w14:textId="42CA8B87" w:rsidR="00551B4B" w:rsidRPr="005B5915" w:rsidRDefault="00551B4B" w:rsidP="00551B4B">
      <w:pPr>
        <w:pStyle w:val="Normal1"/>
      </w:pPr>
      <w:r w:rsidRPr="00551B4B">
        <w:t xml:space="preserve">Zamiast trzech </w:t>
      </w:r>
      <w:r>
        <w:t>wzajemnie się wykluczających</w:t>
      </w:r>
      <w:r w:rsidRPr="00551B4B">
        <w:t xml:space="preserve"> definicji </w:t>
      </w:r>
      <w:r w:rsidR="001B3B57">
        <w:t>rekomendujemy</w:t>
      </w:r>
      <w:r w:rsidRPr="00551B4B">
        <w:t xml:space="preserve"> bardziej kompleksowe podejście, wykorzystujące zarówno zalety defini</w:t>
      </w:r>
      <w:r>
        <w:t>cji ogólnej, jak i szczegółowej</w:t>
      </w:r>
      <w:r w:rsidRPr="00551B4B">
        <w:t xml:space="preserve"> </w:t>
      </w:r>
      <w:r>
        <w:t>(</w:t>
      </w:r>
      <w:r w:rsidRPr="00551B4B">
        <w:t xml:space="preserve">opisane w </w:t>
      </w:r>
      <w:r>
        <w:t>części</w:t>
      </w:r>
      <w:r w:rsidRPr="00551B4B">
        <w:t xml:space="preserve"> 3.1. i 3.2. </w:t>
      </w:r>
      <w:r>
        <w:t>raportu)</w:t>
      </w:r>
      <w:r w:rsidRPr="00551B4B">
        <w:t xml:space="preserve">. </w:t>
      </w:r>
      <w:r>
        <w:t xml:space="preserve">Proponujemy definicję ubóstwa energetycznego metodą </w:t>
      </w:r>
      <w:r w:rsidR="005B5915">
        <w:rPr>
          <w:i/>
        </w:rPr>
        <w:t>top-down</w:t>
      </w:r>
      <w:r w:rsidR="005B5915">
        <w:t xml:space="preserve"> od najbardziej ogólnego do szczegółowego sposobu zrozumienia problemu. Dzięki temu trzy definicje składają się z właściwych poziomów szczegółowości, któr</w:t>
      </w:r>
      <w:r w:rsidR="001B3B57">
        <w:t>e</w:t>
      </w:r>
      <w:r w:rsidR="005B5915">
        <w:t xml:space="preserve"> </w:t>
      </w:r>
      <w:r w:rsidR="001B3B57">
        <w:t>powinny</w:t>
      </w:r>
      <w:r w:rsidR="005B5915">
        <w:t xml:space="preserve"> być stosowan</w:t>
      </w:r>
      <w:r w:rsidR="001B3B57">
        <w:t>e</w:t>
      </w:r>
      <w:r w:rsidR="005B5915">
        <w:t xml:space="preserve"> zgodnie z celem administracji.</w:t>
      </w:r>
      <w:r w:rsidR="00BC6FBB">
        <w:t xml:space="preserve"> Proponowane w danym zestawie (właściwym dla poziomu szczegółowości definicji) powinny być używane łącznie, tak aby określić skalę ubóstwa energetycznego.</w:t>
      </w:r>
      <w:r w:rsidR="005B5915">
        <w:t xml:space="preserve"> Dlatego</w:t>
      </w:r>
      <w:r w:rsidR="001B3B57">
        <w:t xml:space="preserve"> </w:t>
      </w:r>
      <w:r w:rsidR="005B5915">
        <w:t xml:space="preserve">planowanie polityki będzie mogło opierać się wyłącznie na zaletach </w:t>
      </w:r>
      <w:r w:rsidR="001B3B57">
        <w:t>każdego podejścia.</w:t>
      </w:r>
    </w:p>
    <w:p w14:paraId="5C92CB9B" w14:textId="3216B540" w:rsidR="00E30BB0" w:rsidRPr="005B5915" w:rsidRDefault="005B5915" w:rsidP="00D9053C">
      <w:pPr>
        <w:pStyle w:val="Nagwek3"/>
      </w:pPr>
      <w:r w:rsidRPr="005B5915">
        <w:t>Ogólna definicja</w:t>
      </w:r>
    </w:p>
    <w:p w14:paraId="2C3418EA" w14:textId="4ACFED5E" w:rsidR="005B5915" w:rsidRPr="005B5915" w:rsidRDefault="005B5915" w:rsidP="005B5915">
      <w:pPr>
        <w:pStyle w:val="Bullety"/>
        <w:numPr>
          <w:ilvl w:val="0"/>
          <w:numId w:val="0"/>
        </w:numPr>
      </w:pPr>
      <w:r w:rsidRPr="005B5915">
        <w:t xml:space="preserve">Ubóstwo energetyczne występuje wtedy, gdy gospodarstwo domowe nie jest w stanie </w:t>
      </w:r>
      <w:r>
        <w:t>zapewnić</w:t>
      </w:r>
      <w:r w:rsidRPr="005B5915">
        <w:t xml:space="preserve"> sobie wystarczające</w:t>
      </w:r>
      <w:r>
        <w:t>go</w:t>
      </w:r>
      <w:r w:rsidRPr="005B5915">
        <w:t xml:space="preserve"> </w:t>
      </w:r>
      <w:r>
        <w:t xml:space="preserve">poziomu </w:t>
      </w:r>
      <w:r w:rsidRPr="005B5915">
        <w:t>ciepł</w:t>
      </w:r>
      <w:r>
        <w:t>a</w:t>
      </w:r>
      <w:r w:rsidRPr="005B5915">
        <w:t>, chłod</w:t>
      </w:r>
      <w:r>
        <w:t>u</w:t>
      </w:r>
      <w:r w:rsidRPr="005B5915">
        <w:t>, oświetl</w:t>
      </w:r>
      <w:r>
        <w:t>ania</w:t>
      </w:r>
      <w:r w:rsidRPr="005B5915">
        <w:t xml:space="preserve"> i energi</w:t>
      </w:r>
      <w:r>
        <w:t>i</w:t>
      </w:r>
      <w:r w:rsidRPr="005B5915">
        <w:t xml:space="preserve"> do zasilania urządzeń</w:t>
      </w:r>
      <w:r>
        <w:t xml:space="preserve">, w wyniku </w:t>
      </w:r>
      <w:r w:rsidRPr="005B5915">
        <w:t>połączeni</w:t>
      </w:r>
      <w:r>
        <w:t>a</w:t>
      </w:r>
      <w:r w:rsidRPr="005B5915">
        <w:t xml:space="preserve"> niskich dochodów, wysokich wydatków energetycznych i niskiej efektywności energetycznej w dom</w:t>
      </w:r>
      <w:r>
        <w:t>u</w:t>
      </w:r>
      <w:r w:rsidRPr="005B5915">
        <w:t>.</w:t>
      </w:r>
    </w:p>
    <w:p w14:paraId="79DC394F" w14:textId="080588B0" w:rsidR="00D91BB3" w:rsidRPr="005B5915" w:rsidRDefault="005B5915" w:rsidP="003E5930">
      <w:pPr>
        <w:pStyle w:val="Bullety"/>
        <w:numPr>
          <w:ilvl w:val="0"/>
          <w:numId w:val="0"/>
        </w:numPr>
        <w:jc w:val="left"/>
        <w:rPr>
          <w:b/>
        </w:rPr>
      </w:pPr>
      <w:r w:rsidRPr="005B5915">
        <w:rPr>
          <w:b/>
        </w:rPr>
        <w:t>Wskaźniki</w:t>
      </w:r>
    </w:p>
    <w:p w14:paraId="4B2E1864" w14:textId="2DD20F1D" w:rsidR="008D6DA7" w:rsidRPr="005B5915" w:rsidRDefault="005B5915" w:rsidP="008D6DA7">
      <w:pPr>
        <w:pStyle w:val="Bullety"/>
      </w:pPr>
      <w:r w:rsidRPr="005B5915">
        <w:t>Wysokie Koszty, Niskie Dochody</w:t>
      </w:r>
    </w:p>
    <w:p w14:paraId="2FF0FD31" w14:textId="5CA4B182" w:rsidR="008D6DA7" w:rsidRPr="005B5915" w:rsidRDefault="005B5915" w:rsidP="008D6DA7">
      <w:pPr>
        <w:pStyle w:val="Bullety"/>
      </w:pPr>
      <w:r w:rsidRPr="005B5915">
        <w:t>Niewystarczający komfort cieplny</w:t>
      </w:r>
    </w:p>
    <w:p w14:paraId="2CC1A224" w14:textId="11C187B2" w:rsidR="00A04084" w:rsidRPr="00D777FB" w:rsidRDefault="00D777FB" w:rsidP="00A04084">
      <w:pPr>
        <w:pStyle w:val="Bullety"/>
        <w:numPr>
          <w:ilvl w:val="0"/>
          <w:numId w:val="0"/>
        </w:numPr>
        <w:rPr>
          <w:b/>
        </w:rPr>
      </w:pPr>
      <w:r>
        <w:rPr>
          <w:b/>
        </w:rPr>
        <w:t>Zastosowanie</w:t>
      </w:r>
    </w:p>
    <w:p w14:paraId="6D4B0FE2" w14:textId="73AD4324" w:rsidR="00D777FB" w:rsidRPr="00D777FB" w:rsidRDefault="00D777FB" w:rsidP="00A04084">
      <w:pPr>
        <w:pStyle w:val="Bullety"/>
      </w:pPr>
      <w:r w:rsidRPr="00D777FB">
        <w:t>Porównanie ubóstwa energetycznego pomiędzy państwami członkowskimi UE</w:t>
      </w:r>
    </w:p>
    <w:p w14:paraId="58F5A799" w14:textId="00418289" w:rsidR="00D777FB" w:rsidRPr="00D777FB" w:rsidRDefault="00D777FB" w:rsidP="00A04084">
      <w:pPr>
        <w:pStyle w:val="Bullety"/>
      </w:pPr>
      <w:r w:rsidRPr="00D777FB">
        <w:t>Krajowe polityki i strategie</w:t>
      </w:r>
    </w:p>
    <w:p w14:paraId="6E5B8A10" w14:textId="38829217" w:rsidR="00D91BB3" w:rsidRPr="00F8650B" w:rsidRDefault="00F8650B" w:rsidP="00A04084">
      <w:pPr>
        <w:pStyle w:val="Bullety"/>
      </w:pPr>
      <w:r w:rsidRPr="00F8650B">
        <w:t>Polityki i strategie na poziomie UE</w:t>
      </w:r>
    </w:p>
    <w:p w14:paraId="08686566" w14:textId="0B774648" w:rsidR="00F13658" w:rsidRPr="00F8650B" w:rsidRDefault="00F8650B" w:rsidP="00F13658">
      <w:pPr>
        <w:pStyle w:val="Bullety"/>
        <w:numPr>
          <w:ilvl w:val="0"/>
          <w:numId w:val="0"/>
        </w:numPr>
        <w:rPr>
          <w:b/>
        </w:rPr>
      </w:pPr>
      <w:r w:rsidRPr="00F8650B">
        <w:rPr>
          <w:b/>
        </w:rPr>
        <w:t>Poziom administracji</w:t>
      </w:r>
    </w:p>
    <w:p w14:paraId="15892427" w14:textId="5BF6C731" w:rsidR="00F13658" w:rsidRPr="00FB7737" w:rsidRDefault="00FB7737" w:rsidP="00F13658">
      <w:pPr>
        <w:pStyle w:val="Bullety"/>
      </w:pPr>
      <w:r w:rsidRPr="00FB7737">
        <w:t>Premier i administracja rządowa</w:t>
      </w:r>
    </w:p>
    <w:p w14:paraId="25447B38" w14:textId="431B3327" w:rsidR="00FB7737" w:rsidRPr="00032AD0" w:rsidRDefault="00032AD0" w:rsidP="00F13658">
      <w:pPr>
        <w:pStyle w:val="Bullety"/>
      </w:pPr>
      <w:r w:rsidRPr="00032AD0">
        <w:t>Europarlamentarzyści i instytucje UE</w:t>
      </w:r>
    </w:p>
    <w:p w14:paraId="3A4E9687" w14:textId="0B9E985F" w:rsidR="00710050" w:rsidRPr="00032AD0" w:rsidRDefault="00032AD0" w:rsidP="00D9053C">
      <w:pPr>
        <w:pStyle w:val="Nagwek3"/>
      </w:pPr>
      <w:r w:rsidRPr="00032AD0">
        <w:t xml:space="preserve">Definicja szczegółowa </w:t>
      </w:r>
    </w:p>
    <w:p w14:paraId="2F4D7801" w14:textId="712D78E4" w:rsidR="00032AD0" w:rsidRPr="00032AD0" w:rsidRDefault="005B5915" w:rsidP="00D46E7E">
      <w:pPr>
        <w:pStyle w:val="Bullety"/>
        <w:numPr>
          <w:ilvl w:val="0"/>
          <w:numId w:val="0"/>
        </w:numPr>
      </w:pPr>
      <w:r w:rsidRPr="005B5915">
        <w:t>Ubóstwo energetyczne występuje wtedy, gdy gospodarstwo domowe nie jest w stanie zapewnić sobie wystarczającego poziomu ciepła, chłodu, oświetlania i energii do zasilania urządzeń, w wyniku połączenia niskich dochodów, wysokich wydatków energetycznych i niskiej efektywności energetycznej w domu.</w:t>
      </w:r>
      <w:r w:rsidR="00032AD0">
        <w:t xml:space="preserve"> </w:t>
      </w:r>
      <w:r w:rsidR="00032AD0" w:rsidRPr="00032AD0">
        <w:t xml:space="preserve">Aby gospodarstwo domowe zostało sklasyfikowane jako ubogie energetycznie, musi jednocześnie spełniać dwa kryteria: wysokie </w:t>
      </w:r>
      <w:r w:rsidR="00C73A28">
        <w:t>hipotetyczne</w:t>
      </w:r>
      <w:r w:rsidR="00032AD0" w:rsidRPr="00032AD0">
        <w:t xml:space="preserve"> koszty energii (powyżej mediany poziomu krajowego) i niskie dochody (</w:t>
      </w:r>
      <w:r w:rsidR="00AC6A1A">
        <w:t xml:space="preserve">rozporządzalny </w:t>
      </w:r>
      <w:r w:rsidR="00032AD0" w:rsidRPr="00032AD0">
        <w:t>dochód</w:t>
      </w:r>
      <w:r w:rsidR="00032AD0">
        <w:rPr>
          <w:rStyle w:val="Odwoanieprzypisudolnego"/>
          <w:lang w:val="en-GB"/>
        </w:rPr>
        <w:footnoteReference w:id="3"/>
      </w:r>
      <w:r w:rsidR="00032AD0" w:rsidRPr="00032AD0">
        <w:t xml:space="preserve"> </w:t>
      </w:r>
      <w:r w:rsidR="00032AD0">
        <w:t>p</w:t>
      </w:r>
      <w:r w:rsidR="00032AD0" w:rsidRPr="00032AD0">
        <w:t xml:space="preserve">oniżej </w:t>
      </w:r>
      <w:r w:rsidR="00032AD0">
        <w:t>oficjalnie określonego</w:t>
      </w:r>
      <w:r w:rsidR="00032AD0" w:rsidRPr="00032AD0">
        <w:t xml:space="preserve"> </w:t>
      </w:r>
      <w:r w:rsidR="00032AD0">
        <w:t xml:space="preserve">progu </w:t>
      </w:r>
      <w:r w:rsidR="00032AD0" w:rsidRPr="00032AD0">
        <w:t>ubóstwa).</w:t>
      </w:r>
    </w:p>
    <w:p w14:paraId="40FB4396" w14:textId="4B746FC4" w:rsidR="00D91BB3" w:rsidRPr="00A04084" w:rsidRDefault="005B5915" w:rsidP="00D46E7E">
      <w:pPr>
        <w:pStyle w:val="Bullety"/>
        <w:numPr>
          <w:ilvl w:val="0"/>
          <w:numId w:val="0"/>
        </w:numPr>
        <w:rPr>
          <w:b/>
          <w:lang w:val="en-GB"/>
        </w:rPr>
      </w:pPr>
      <w:r w:rsidRPr="005B5915">
        <w:rPr>
          <w:b/>
        </w:rPr>
        <w:t>Wskaźniki</w:t>
      </w:r>
    </w:p>
    <w:p w14:paraId="52C0B989" w14:textId="2D4B5389" w:rsidR="00D91BB3" w:rsidRPr="005B5915" w:rsidRDefault="005B5915" w:rsidP="005B5915">
      <w:pPr>
        <w:pStyle w:val="Bullety"/>
      </w:pPr>
      <w:r w:rsidRPr="005B5915">
        <w:t>Wysokie Koszty, Niskie Dochody</w:t>
      </w:r>
      <w:r w:rsidR="00D91BB3" w:rsidRPr="005B5915">
        <w:rPr>
          <w:lang w:val="en-GB"/>
        </w:rPr>
        <w:t xml:space="preserve"> </w:t>
      </w:r>
    </w:p>
    <w:p w14:paraId="7AEF9517" w14:textId="08325207" w:rsidR="00D91BB3" w:rsidRPr="005B5915" w:rsidRDefault="005B5915" w:rsidP="005B5915">
      <w:pPr>
        <w:pStyle w:val="Bullety"/>
      </w:pPr>
      <w:r w:rsidRPr="005B5915">
        <w:t>Niewystarczający komfort cieplny</w:t>
      </w:r>
    </w:p>
    <w:p w14:paraId="2C21E5E7" w14:textId="2B7DA72F" w:rsidR="00AC6A1A" w:rsidRPr="00AC6A1A" w:rsidRDefault="00AC6A1A" w:rsidP="00AA215E">
      <w:pPr>
        <w:pStyle w:val="Bullety"/>
      </w:pPr>
      <w:r w:rsidRPr="00AC6A1A">
        <w:t>Podwójna mediana wydatków na energię</w:t>
      </w:r>
    </w:p>
    <w:p w14:paraId="0E838EDE" w14:textId="703E31E5" w:rsidR="00AC6A1A" w:rsidRPr="00961B46" w:rsidRDefault="003748D5" w:rsidP="008D6DA7">
      <w:pPr>
        <w:pStyle w:val="Bullety"/>
      </w:pPr>
      <w:r w:rsidRPr="003748D5">
        <w:t>Budynek z przeciekającym dachem, zawilgoconymi ścianami, podłogami, fundamentami, butwiejącymi oknami lub podłogami</w:t>
      </w:r>
    </w:p>
    <w:p w14:paraId="4192895C" w14:textId="75B3749B" w:rsidR="00A04084" w:rsidRPr="00A04084" w:rsidRDefault="00D777FB" w:rsidP="00A04084">
      <w:pPr>
        <w:pStyle w:val="Bullety"/>
        <w:numPr>
          <w:ilvl w:val="0"/>
          <w:numId w:val="0"/>
        </w:numPr>
        <w:rPr>
          <w:b/>
          <w:lang w:val="en-GB"/>
        </w:rPr>
      </w:pPr>
      <w:r>
        <w:rPr>
          <w:b/>
        </w:rPr>
        <w:t>Zastosowanie</w:t>
      </w:r>
    </w:p>
    <w:p w14:paraId="039ACF9B" w14:textId="651B22CE" w:rsidR="003748D5" w:rsidRPr="003748D5" w:rsidRDefault="003748D5" w:rsidP="00A04084">
      <w:pPr>
        <w:pStyle w:val="Bullety"/>
      </w:pPr>
      <w:r w:rsidRPr="003748D5">
        <w:t>Pomiar ubóstwa energetycznego w Polsce</w:t>
      </w:r>
    </w:p>
    <w:p w14:paraId="2DAC5874" w14:textId="152E1F2F" w:rsidR="00A04084" w:rsidRPr="003748D5" w:rsidRDefault="003748D5" w:rsidP="00A04084">
      <w:pPr>
        <w:pStyle w:val="Bullety"/>
      </w:pPr>
      <w:r w:rsidRPr="003748D5">
        <w:t>Krajowe i sektorowe polityki i strategie</w:t>
      </w:r>
    </w:p>
    <w:p w14:paraId="425B7FE6" w14:textId="70F8C2DF" w:rsidR="00503874" w:rsidRPr="003748D5" w:rsidRDefault="003748D5" w:rsidP="003748D5">
      <w:pPr>
        <w:pStyle w:val="Bullety"/>
        <w:numPr>
          <w:ilvl w:val="0"/>
          <w:numId w:val="0"/>
        </w:numPr>
        <w:rPr>
          <w:b/>
        </w:rPr>
      </w:pPr>
      <w:r w:rsidRPr="003748D5">
        <w:rPr>
          <w:b/>
        </w:rPr>
        <w:t>Poziom administracji</w:t>
      </w:r>
    </w:p>
    <w:p w14:paraId="4B4668DB" w14:textId="26B8BB3C" w:rsidR="00503874" w:rsidRPr="003748D5" w:rsidRDefault="003748D5" w:rsidP="00503874">
      <w:pPr>
        <w:pStyle w:val="Bullety"/>
      </w:pPr>
      <w:r w:rsidRPr="003748D5">
        <w:t>Ministerstwa</w:t>
      </w:r>
      <w:r w:rsidR="005E0095" w:rsidRPr="003748D5">
        <w:t xml:space="preserve"> </w:t>
      </w:r>
    </w:p>
    <w:p w14:paraId="67316C47" w14:textId="7D4040E6" w:rsidR="00503874" w:rsidRPr="003748D5" w:rsidRDefault="003748D5" w:rsidP="00503874">
      <w:pPr>
        <w:pStyle w:val="Bullety"/>
      </w:pPr>
      <w:r w:rsidRPr="003748D5">
        <w:t>Posłowie i senatorowie</w:t>
      </w:r>
    </w:p>
    <w:p w14:paraId="68A696E9" w14:textId="0F459970" w:rsidR="008F13B6" w:rsidRPr="003748D5" w:rsidRDefault="003748D5" w:rsidP="00D9053C">
      <w:pPr>
        <w:pStyle w:val="Nagwek3"/>
      </w:pPr>
      <w:r w:rsidRPr="003748D5">
        <w:t>Definicja ekstensywna</w:t>
      </w:r>
    </w:p>
    <w:p w14:paraId="4F431AD8" w14:textId="6D742E8D" w:rsidR="003748D5" w:rsidRPr="003748D5" w:rsidRDefault="003748D5" w:rsidP="003E5930">
      <w:pPr>
        <w:pStyle w:val="Normal1"/>
      </w:pPr>
      <w:r w:rsidRPr="003748D5">
        <w:t xml:space="preserve">Ubóstwo energetyczne występuje wtedy, gdy gospodarstwo domowe nie jest w stanie zapewnić sobie wystarczającego poziomu ciepła, chłodu, oświetlania i energii do zasilania urządzeń, w wyniku połączenia niskich dochodów, wysokich wydatków energetycznych i niskiej efektywności energetycznej w domu. Aby gospodarstwo domowe zostało sklasyfikowane jako ubogie energetycznie, musi jednocześnie spełniać dwa kryteria: wysokie </w:t>
      </w:r>
      <w:r w:rsidR="00C73A28">
        <w:t>hipotetyczne</w:t>
      </w:r>
      <w:r w:rsidRPr="003748D5">
        <w:t xml:space="preserve"> koszty energii (powyżej mediany poziomu krajowego) i niskie dochody (rozporządzalny dochód</w:t>
      </w:r>
      <w:r w:rsidRPr="003748D5">
        <w:rPr>
          <w:vertAlign w:val="superscript"/>
          <w:lang w:val="en-GB"/>
        </w:rPr>
        <w:footnoteReference w:id="4"/>
      </w:r>
      <w:r w:rsidRPr="003748D5">
        <w:t xml:space="preserve"> poniżej oficjalnie określonego progu ubóstwa).</w:t>
      </w:r>
      <w:r>
        <w:t xml:space="preserve"> </w:t>
      </w:r>
      <w:r w:rsidR="001B3B57">
        <w:t>Poziom dotkliwości ubóstwa</w:t>
      </w:r>
      <w:r w:rsidRPr="003748D5">
        <w:t xml:space="preserve"> jest dodatkowo mierzony przez wskaźniki oparte na samoocenie, dotyczące możliwości finansowych gospodarstwa domowego (zdolność do terminowego płacenia rachunków) tkanki mieszkaniowej (przeciekający dach, okna, wilgoć w ścianach i podłogach), oraz przez subiektywny komfort cieplny.</w:t>
      </w:r>
    </w:p>
    <w:p w14:paraId="72939A7F" w14:textId="51A2CACE" w:rsidR="00D91BB3" w:rsidRPr="00A04084" w:rsidRDefault="005B5915" w:rsidP="003E5930">
      <w:pPr>
        <w:pStyle w:val="Normal1"/>
        <w:rPr>
          <w:b/>
          <w:lang w:val="en-GB"/>
        </w:rPr>
      </w:pPr>
      <w:r w:rsidRPr="005B5915">
        <w:rPr>
          <w:b/>
        </w:rPr>
        <w:t>Wskaźniki</w:t>
      </w:r>
    </w:p>
    <w:p w14:paraId="1805D667" w14:textId="5A964784" w:rsidR="00D91BB3" w:rsidRPr="005B5915" w:rsidRDefault="005B5915" w:rsidP="005B5915">
      <w:pPr>
        <w:pStyle w:val="Bullety"/>
      </w:pPr>
      <w:r w:rsidRPr="005B5915">
        <w:t>Wysokie Koszty, Niskie Dochody</w:t>
      </w:r>
      <w:r w:rsidR="00D91BB3" w:rsidRPr="005B5915">
        <w:rPr>
          <w:lang w:val="en-GB"/>
        </w:rPr>
        <w:t xml:space="preserve"> </w:t>
      </w:r>
    </w:p>
    <w:p w14:paraId="226A80DC" w14:textId="4500D5CC" w:rsidR="00D777FB" w:rsidRPr="00D777FB" w:rsidRDefault="00D777FB" w:rsidP="00D777FB">
      <w:pPr>
        <w:pStyle w:val="Bullety"/>
      </w:pPr>
      <w:r w:rsidRPr="005B5915">
        <w:t>Niewystarczający komfort cieplny</w:t>
      </w:r>
    </w:p>
    <w:p w14:paraId="32FEEDB5" w14:textId="0F8CB6E1" w:rsidR="00D91BB3" w:rsidRPr="00961B46" w:rsidRDefault="003748D5" w:rsidP="00D91BB3">
      <w:pPr>
        <w:pStyle w:val="Bullety"/>
      </w:pPr>
      <w:r w:rsidRPr="003748D5">
        <w:t>Udział wymaganych wydatków na energię względem dochodu</w:t>
      </w:r>
    </w:p>
    <w:p w14:paraId="21EBE264" w14:textId="77777777" w:rsidR="003748D5" w:rsidRDefault="003748D5" w:rsidP="00D91BB3">
      <w:pPr>
        <w:pStyle w:val="Bullety"/>
        <w:rPr>
          <w:lang w:val="en-GB"/>
        </w:rPr>
      </w:pPr>
      <w:r w:rsidRPr="003748D5">
        <w:t>Podwójna mediana wydatków na energię</w:t>
      </w:r>
      <w:r w:rsidRPr="003748D5">
        <w:rPr>
          <w:lang w:val="en-GB"/>
        </w:rPr>
        <w:t xml:space="preserve"> </w:t>
      </w:r>
    </w:p>
    <w:p w14:paraId="73D7DA87" w14:textId="77777777" w:rsidR="003748D5" w:rsidRDefault="003748D5" w:rsidP="00D91BB3">
      <w:pPr>
        <w:pStyle w:val="Bullety"/>
        <w:rPr>
          <w:lang w:val="en-GB"/>
        </w:rPr>
      </w:pPr>
      <w:r w:rsidRPr="003748D5">
        <w:t>Ukryte ubóstwo energetyczne</w:t>
      </w:r>
      <w:r w:rsidRPr="003748D5">
        <w:rPr>
          <w:lang w:val="en-GB"/>
        </w:rPr>
        <w:t xml:space="preserve"> </w:t>
      </w:r>
    </w:p>
    <w:p w14:paraId="6E558D37" w14:textId="77777777" w:rsidR="004A1FDC" w:rsidRDefault="003748D5" w:rsidP="004A1FDC">
      <w:pPr>
        <w:pStyle w:val="Bullety"/>
        <w:rPr>
          <w:lang w:val="en-GB"/>
        </w:rPr>
      </w:pPr>
      <w:r>
        <w:t>Z</w:t>
      </w:r>
      <w:r w:rsidRPr="003748D5">
        <w:t>dolność do terminowego opłacania rachunków</w:t>
      </w:r>
    </w:p>
    <w:p w14:paraId="14C014BF" w14:textId="7E7D4B98" w:rsidR="004A1FDC" w:rsidRPr="00961B46" w:rsidRDefault="007B6094" w:rsidP="004A1FDC">
      <w:pPr>
        <w:pStyle w:val="Bullety"/>
      </w:pPr>
      <w:r>
        <w:t>B</w:t>
      </w:r>
      <w:r w:rsidR="004A1FDC" w:rsidRPr="004A1FDC">
        <w:t>udynek z przeciekającym dachem, zawilgoconymi ścianami, podłogami, fundamentami, butwiejącymi oknami lub podłogami</w:t>
      </w:r>
    </w:p>
    <w:p w14:paraId="5E2F0567" w14:textId="27E8A89F" w:rsidR="00503874" w:rsidRPr="004A1FDC" w:rsidRDefault="00D777FB" w:rsidP="004A1FDC">
      <w:pPr>
        <w:pStyle w:val="Bullety"/>
        <w:numPr>
          <w:ilvl w:val="0"/>
          <w:numId w:val="0"/>
        </w:numPr>
        <w:rPr>
          <w:lang w:val="en-GB"/>
        </w:rPr>
      </w:pPr>
      <w:r w:rsidRPr="004A1FDC">
        <w:rPr>
          <w:b/>
        </w:rPr>
        <w:t>Zastosowanie</w:t>
      </w:r>
    </w:p>
    <w:p w14:paraId="59E7317B" w14:textId="1B8539FA" w:rsidR="004A1FDC" w:rsidRPr="004A1FDC" w:rsidRDefault="004A1FDC" w:rsidP="00503874">
      <w:pPr>
        <w:pStyle w:val="Bullety"/>
      </w:pPr>
      <w:r w:rsidRPr="004A1FDC">
        <w:t xml:space="preserve">Regionalne </w:t>
      </w:r>
      <w:r>
        <w:t>i</w:t>
      </w:r>
      <w:r w:rsidRPr="004A1FDC">
        <w:t xml:space="preserve"> lokalne polityki </w:t>
      </w:r>
      <w:r>
        <w:t>i</w:t>
      </w:r>
      <w:r w:rsidRPr="004A1FDC">
        <w:t xml:space="preserve"> strategie</w:t>
      </w:r>
    </w:p>
    <w:p w14:paraId="0E41CB75" w14:textId="0D521DE4" w:rsidR="00503874" w:rsidRDefault="003748D5" w:rsidP="00503874">
      <w:pPr>
        <w:pStyle w:val="Bullety"/>
        <w:numPr>
          <w:ilvl w:val="0"/>
          <w:numId w:val="0"/>
        </w:numPr>
        <w:rPr>
          <w:b/>
          <w:lang w:val="en-GB"/>
        </w:rPr>
      </w:pPr>
      <w:r w:rsidRPr="003748D5">
        <w:rPr>
          <w:b/>
        </w:rPr>
        <w:t>Poziom administracji</w:t>
      </w:r>
    </w:p>
    <w:p w14:paraId="610DFE77" w14:textId="60F40206" w:rsidR="004A1FDC" w:rsidRPr="004A1FDC" w:rsidRDefault="004A1FDC" w:rsidP="00503874">
      <w:pPr>
        <w:pStyle w:val="Bullety"/>
      </w:pPr>
      <w:r w:rsidRPr="004A1FDC">
        <w:t>Regionalna i lokalna administracja</w:t>
      </w:r>
    </w:p>
    <w:p w14:paraId="0BFE99B8" w14:textId="5B741933" w:rsidR="004A1FDC" w:rsidRPr="004A1FDC" w:rsidRDefault="004A1FDC" w:rsidP="00503874">
      <w:pPr>
        <w:pStyle w:val="Bullety"/>
      </w:pPr>
      <w:r>
        <w:t>Jednostki</w:t>
      </w:r>
      <w:r w:rsidRPr="004A1FDC">
        <w:t xml:space="preserve"> badawcze i akademickie</w:t>
      </w:r>
    </w:p>
    <w:p w14:paraId="2EBE9B18" w14:textId="5EF5C2C2" w:rsidR="00503874" w:rsidRPr="004A1FDC" w:rsidRDefault="004A1FDC" w:rsidP="00503874">
      <w:pPr>
        <w:pStyle w:val="Bullety"/>
      </w:pPr>
      <w:r w:rsidRPr="004A1FDC">
        <w:t>Organizacje pozarządowe</w:t>
      </w:r>
    </w:p>
    <w:p w14:paraId="5A7402D2" w14:textId="374BF0BC" w:rsidR="00132F7C" w:rsidRPr="004A1FDC" w:rsidRDefault="004A1FDC" w:rsidP="00D9053C">
      <w:pPr>
        <w:pStyle w:val="Nagwek2"/>
      </w:pPr>
      <w:bookmarkStart w:id="21" w:name="_Toc528189736"/>
      <w:r>
        <w:t>Wnioski</w:t>
      </w:r>
      <w:bookmarkEnd w:id="21"/>
    </w:p>
    <w:p w14:paraId="06A1057E" w14:textId="013889BA" w:rsidR="0012432D" w:rsidRPr="00961B46" w:rsidRDefault="0012432D" w:rsidP="0012432D">
      <w:pPr>
        <w:pStyle w:val="Normal1"/>
      </w:pPr>
      <w:r w:rsidRPr="0098268A">
        <w:t xml:space="preserve">Proponowane podejście </w:t>
      </w:r>
      <w:r w:rsidR="0098268A" w:rsidRPr="0098268A">
        <w:t>zapewn</w:t>
      </w:r>
      <w:r w:rsidR="001B3B57">
        <w:t>ia</w:t>
      </w:r>
      <w:r w:rsidR="0098268A" w:rsidRPr="0098268A">
        <w:t xml:space="preserve"> </w:t>
      </w:r>
      <w:r w:rsidR="0098268A">
        <w:t>wykorzystanie</w:t>
      </w:r>
      <w:r w:rsidR="0098268A" w:rsidRPr="0098268A">
        <w:t xml:space="preserve"> zalet zarówno ogólnej, </w:t>
      </w:r>
      <w:r w:rsidR="0098268A">
        <w:t xml:space="preserve">jak i szczegółowej definicji, co wzmocni proces planowania polityk wsparcia. Definicja składająca się z trzech poziomów szczegółowości </w:t>
      </w:r>
      <w:r w:rsidR="001B3B57">
        <w:t xml:space="preserve">nadaje </w:t>
      </w:r>
      <w:r w:rsidRPr="0098268A">
        <w:t>większ</w:t>
      </w:r>
      <w:r w:rsidR="0098268A">
        <w:t>y</w:t>
      </w:r>
      <w:r w:rsidRPr="0098268A">
        <w:t xml:space="preserve"> </w:t>
      </w:r>
      <w:r w:rsidR="0098268A">
        <w:t>priorytet dla</w:t>
      </w:r>
      <w:r w:rsidRPr="0098268A">
        <w:t xml:space="preserve"> problemu</w:t>
      </w:r>
      <w:r w:rsidR="0098268A">
        <w:t xml:space="preserve"> ubóstwa energetycznego</w:t>
      </w:r>
      <w:r w:rsidRPr="0098268A">
        <w:t>, umożliwi</w:t>
      </w:r>
      <w:r w:rsidR="009150C9">
        <w:t>a</w:t>
      </w:r>
      <w:r w:rsidRPr="0098268A">
        <w:t xml:space="preserve"> synergię między administracją, zwiększ</w:t>
      </w:r>
      <w:r w:rsidR="009150C9">
        <w:t>a</w:t>
      </w:r>
      <w:r w:rsidR="0098268A">
        <w:t xml:space="preserve"> jakość danych</w:t>
      </w:r>
      <w:r w:rsidRPr="0098268A">
        <w:t xml:space="preserve"> i ogólną wiedzę, ale </w:t>
      </w:r>
      <w:r w:rsidR="0098268A">
        <w:t>też zabezpiecz</w:t>
      </w:r>
      <w:r w:rsidR="009150C9">
        <w:t>a</w:t>
      </w:r>
      <w:r w:rsidR="0098268A">
        <w:t xml:space="preserve"> przeciwko zbytniemu uz</w:t>
      </w:r>
      <w:r w:rsidR="009150C9">
        <w:t xml:space="preserve">ależnieniu od jednej strategii. </w:t>
      </w:r>
      <w:r w:rsidRPr="0098268A">
        <w:t xml:space="preserve">Podsumowując, zalecamy stosowanie różnych poziomów </w:t>
      </w:r>
      <w:r w:rsidR="0098268A">
        <w:t>szczegółowości</w:t>
      </w:r>
      <w:r w:rsidRPr="0098268A">
        <w:t xml:space="preserve"> definicji, w zależności o</w:t>
      </w:r>
      <w:r w:rsidR="0098268A">
        <w:t xml:space="preserve">d celu polityki. </w:t>
      </w:r>
      <w:r w:rsidR="00BC6FBB">
        <w:t xml:space="preserve">Wszystkie trzy poziomy definicji mogą być uwzględnione w prawodawstwie, wraz ze szczegółową instrukcją, kiedy należy używać danego poziomu szczegółowości. </w:t>
      </w:r>
      <w:r w:rsidR="0098268A">
        <w:t>To kompleksowe</w:t>
      </w:r>
      <w:r w:rsidRPr="0098268A">
        <w:t xml:space="preserve"> podejście zwiększ</w:t>
      </w:r>
      <w:r w:rsidR="0098268A">
        <w:t>y</w:t>
      </w:r>
      <w:r w:rsidRPr="0098268A">
        <w:t xml:space="preserve"> efektywność pomiaru i monitorowania </w:t>
      </w:r>
      <w:r w:rsidR="009150C9">
        <w:t>ubóstwa energetycznego w Polsce.</w:t>
      </w:r>
    </w:p>
    <w:p w14:paraId="2C6C96BA" w14:textId="03EEDDB3" w:rsidR="00132F7C" w:rsidRPr="00961B46" w:rsidRDefault="00132F7C" w:rsidP="00132F7C">
      <w:pPr>
        <w:pStyle w:val="Normal1"/>
        <w:sectPr w:rsidR="00132F7C" w:rsidRPr="00961B46" w:rsidSect="00E801B0">
          <w:headerReference w:type="first" r:id="rId22"/>
          <w:footerReference w:type="first" r:id="rId23"/>
          <w:pgSz w:w="11906" w:h="16838"/>
          <w:pgMar w:top="1418" w:right="1418" w:bottom="1418" w:left="1418" w:header="709" w:footer="340" w:gutter="261"/>
          <w:cols w:space="255"/>
          <w:titlePg/>
          <w:docGrid w:linePitch="360"/>
        </w:sectPr>
      </w:pPr>
    </w:p>
    <w:p w14:paraId="3B47E053" w14:textId="1F61E1CE" w:rsidR="00462CE4" w:rsidRPr="00416A28" w:rsidRDefault="00416A28" w:rsidP="00D9053C">
      <w:pPr>
        <w:pStyle w:val="Nagwek11"/>
      </w:pPr>
      <w:bookmarkStart w:id="24" w:name="_Toc528189737"/>
      <w:r w:rsidRPr="00416A28">
        <w:t>Zastosowanie wskaźników najwyższej jakości</w:t>
      </w:r>
      <w:bookmarkEnd w:id="24"/>
    </w:p>
    <w:p w14:paraId="0385E64A" w14:textId="15C0DBEB" w:rsidR="00641CD2" w:rsidRPr="00530EA0" w:rsidRDefault="00530EA0" w:rsidP="00D9053C">
      <w:pPr>
        <w:pStyle w:val="Nagwek2"/>
        <w:rPr>
          <w:lang w:eastAsia="pl-PL"/>
        </w:rPr>
      </w:pPr>
      <w:bookmarkStart w:id="25" w:name="_Toc528189738"/>
      <w:r w:rsidRPr="00530EA0">
        <w:rPr>
          <w:lang w:eastAsia="pl-PL"/>
        </w:rPr>
        <w:t>Identyfikacja ubóstwa energetycznego z wykorzystaniem grupy wskaźników</w:t>
      </w:r>
      <w:bookmarkEnd w:id="25"/>
    </w:p>
    <w:p w14:paraId="78D2CE2D" w14:textId="0660BDA6" w:rsidR="00530EA0" w:rsidRPr="00530EA0" w:rsidRDefault="00530EA0" w:rsidP="00530EA0">
      <w:pPr>
        <w:autoSpaceDE w:val="0"/>
        <w:autoSpaceDN w:val="0"/>
        <w:adjustRightInd w:val="0"/>
        <w:spacing w:after="0" w:line="276" w:lineRule="auto"/>
        <w:jc w:val="both"/>
        <w:rPr>
          <w:rFonts w:cs="Arial"/>
          <w:sz w:val="20"/>
          <w:szCs w:val="20"/>
          <w:lang w:eastAsia="pl-PL"/>
        </w:rPr>
      </w:pPr>
      <w:r w:rsidRPr="00530EA0">
        <w:rPr>
          <w:rFonts w:cs="Arial"/>
          <w:sz w:val="20"/>
          <w:szCs w:val="20"/>
          <w:lang w:eastAsia="pl-PL"/>
        </w:rPr>
        <w:t xml:space="preserve">W celu </w:t>
      </w:r>
      <w:r w:rsidR="009150C9">
        <w:rPr>
          <w:rFonts w:cs="Arial"/>
          <w:sz w:val="20"/>
          <w:szCs w:val="20"/>
          <w:lang w:eastAsia="pl-PL"/>
        </w:rPr>
        <w:t>dostosowania</w:t>
      </w:r>
      <w:r w:rsidRPr="00530EA0">
        <w:rPr>
          <w:rFonts w:cs="Arial"/>
          <w:sz w:val="20"/>
          <w:szCs w:val="20"/>
          <w:lang w:eastAsia="pl-PL"/>
        </w:rPr>
        <w:t xml:space="preserve"> wskaźników do definicji </w:t>
      </w:r>
      <w:r>
        <w:rPr>
          <w:rFonts w:cs="Arial"/>
          <w:sz w:val="20"/>
          <w:szCs w:val="20"/>
          <w:lang w:eastAsia="pl-PL"/>
        </w:rPr>
        <w:t>ubóstwa energetycznego w Polsce</w:t>
      </w:r>
      <w:r w:rsidRPr="00530EA0">
        <w:rPr>
          <w:rFonts w:cs="Arial"/>
          <w:sz w:val="20"/>
          <w:szCs w:val="20"/>
          <w:lang w:eastAsia="pl-PL"/>
        </w:rPr>
        <w:t>:</w:t>
      </w:r>
    </w:p>
    <w:p w14:paraId="4A3C9EAA" w14:textId="1C13E514" w:rsidR="00530EA0" w:rsidRPr="00530EA0" w:rsidRDefault="00530EA0" w:rsidP="00530EA0">
      <w:pPr>
        <w:pStyle w:val="Bullety"/>
      </w:pPr>
      <w:r w:rsidRPr="00530EA0">
        <w:t>Oblicz</w:t>
      </w:r>
      <w:r>
        <w:t>amy</w:t>
      </w:r>
      <w:r w:rsidRPr="00530EA0">
        <w:t xml:space="preserve"> każdy z siedmiu wskaźników</w:t>
      </w:r>
      <w:r>
        <w:t xml:space="preserve"> o</w:t>
      </w:r>
      <w:r w:rsidRPr="00530EA0">
        <w:t xml:space="preserve"> najwyższej jakości z </w:t>
      </w:r>
      <w:r>
        <w:t>Produktu</w:t>
      </w:r>
      <w:r w:rsidRPr="00530EA0">
        <w:t xml:space="preserve"> 2b </w:t>
      </w:r>
      <w:r w:rsidRPr="00530EA0">
        <w:rPr>
          <w:i/>
        </w:rPr>
        <w:t>Ocena jakości danych i wskaźników ubóstwa energetycznego</w:t>
      </w:r>
      <w:r w:rsidRPr="00530EA0">
        <w:t xml:space="preserve"> </w:t>
      </w:r>
      <w:r>
        <w:t>w</w:t>
      </w:r>
      <w:r w:rsidRPr="00530EA0">
        <w:t xml:space="preserve"> okres</w:t>
      </w:r>
      <w:r>
        <w:t>ie</w:t>
      </w:r>
      <w:r w:rsidRPr="00530EA0">
        <w:t xml:space="preserve"> 5 </w:t>
      </w:r>
      <w:r>
        <w:t xml:space="preserve">lat </w:t>
      </w:r>
      <w:r w:rsidRPr="00530EA0">
        <w:t>(2012 - 2016);</w:t>
      </w:r>
    </w:p>
    <w:p w14:paraId="129FC597" w14:textId="4247FF77" w:rsidR="00530EA0" w:rsidRPr="00530EA0" w:rsidRDefault="00530EA0" w:rsidP="00530EA0">
      <w:pPr>
        <w:pStyle w:val="Bullety"/>
      </w:pPr>
      <w:r w:rsidRPr="00530EA0">
        <w:t xml:space="preserve">Dla każdego wskaźnika </w:t>
      </w:r>
      <w:r>
        <w:t>obliczamy</w:t>
      </w:r>
      <w:r w:rsidRPr="00530EA0">
        <w:t xml:space="preserve"> </w:t>
      </w:r>
      <w:r>
        <w:t xml:space="preserve">właściwe </w:t>
      </w:r>
      <w:r w:rsidRPr="00530EA0">
        <w:t>staty</w:t>
      </w:r>
      <w:r>
        <w:t>styki dla subpopulacji w 2016 r</w:t>
      </w:r>
      <w:r w:rsidRPr="00530EA0">
        <w:t>.;</w:t>
      </w:r>
    </w:p>
    <w:p w14:paraId="166BDF91" w14:textId="75F0AE99" w:rsidR="00530EA0" w:rsidRPr="00530EA0" w:rsidRDefault="00530EA0" w:rsidP="00530EA0">
      <w:pPr>
        <w:pStyle w:val="Bullety"/>
      </w:pPr>
      <w:r>
        <w:t xml:space="preserve">Interpretujemy i oceniamy jakość </w:t>
      </w:r>
      <w:r w:rsidRPr="00530EA0">
        <w:t>statystyk;</w:t>
      </w:r>
    </w:p>
    <w:p w14:paraId="436C6982" w14:textId="2D670956" w:rsidR="00530EA0" w:rsidRDefault="00530EA0" w:rsidP="00530EA0">
      <w:pPr>
        <w:pStyle w:val="Bullety"/>
      </w:pPr>
      <w:r w:rsidRPr="00530EA0">
        <w:t>Analiz</w:t>
      </w:r>
      <w:r>
        <w:t xml:space="preserve">ujemy wskaźniki </w:t>
      </w:r>
      <w:r w:rsidRPr="00530EA0">
        <w:t>ubóstwa energetycznego</w:t>
      </w:r>
      <w:r>
        <w:t xml:space="preserve"> w kontekście charakterystyki przestrzennej </w:t>
      </w:r>
      <w:r w:rsidRPr="00530EA0">
        <w:t>oraz specyfiki sektora energetycznego</w:t>
      </w:r>
      <w:r>
        <w:t xml:space="preserve"> w Polsce</w:t>
      </w:r>
      <w:r w:rsidRPr="00530EA0">
        <w:t>;</w:t>
      </w:r>
    </w:p>
    <w:p w14:paraId="64DDF57E" w14:textId="381969DE" w:rsidR="00530EA0" w:rsidRPr="00530EA0" w:rsidRDefault="00530EA0" w:rsidP="00530EA0">
      <w:pPr>
        <w:pStyle w:val="Bullety"/>
      </w:pPr>
      <w:r>
        <w:t>Rekomendujemy</w:t>
      </w:r>
      <w:r w:rsidR="00041026">
        <w:t xml:space="preserve"> odpowiedni</w:t>
      </w:r>
      <w:r>
        <w:t xml:space="preserve"> zestaw wskaźników.</w:t>
      </w:r>
    </w:p>
    <w:p w14:paraId="082332BC" w14:textId="79A27309" w:rsidR="00530EA0" w:rsidRPr="00530EA0" w:rsidRDefault="00530EA0" w:rsidP="00C57A69">
      <w:pPr>
        <w:pStyle w:val="Bullety"/>
        <w:numPr>
          <w:ilvl w:val="0"/>
          <w:numId w:val="0"/>
        </w:numPr>
      </w:pPr>
      <w:r w:rsidRPr="00530EA0">
        <w:t xml:space="preserve">Podsumowanie opisywanych wskaźników zostało przedstawione w tabeli </w:t>
      </w:r>
      <w:r w:rsidR="009150C9">
        <w:t>2</w:t>
      </w:r>
    </w:p>
    <w:p w14:paraId="08FD5F3F" w14:textId="290925B1" w:rsidR="00095F0E" w:rsidRPr="00530EA0" w:rsidRDefault="00530EA0" w:rsidP="003E5930">
      <w:pPr>
        <w:pStyle w:val="Bullety"/>
        <w:numPr>
          <w:ilvl w:val="0"/>
          <w:numId w:val="0"/>
        </w:numPr>
        <w:rPr>
          <w:b/>
        </w:rPr>
      </w:pPr>
      <w:r w:rsidRPr="00530EA0">
        <w:rPr>
          <w:b/>
        </w:rPr>
        <w:t xml:space="preserve">Tabela </w:t>
      </w:r>
      <w:r w:rsidR="009150C9">
        <w:rPr>
          <w:b/>
        </w:rPr>
        <w:t>2</w:t>
      </w:r>
      <w:r w:rsidRPr="00530EA0">
        <w:rPr>
          <w:b/>
        </w:rPr>
        <w:t xml:space="preserve"> </w:t>
      </w:r>
      <w:r w:rsidR="009150C9">
        <w:rPr>
          <w:b/>
        </w:rPr>
        <w:t>Ogólny o</w:t>
      </w:r>
      <w:r w:rsidRPr="00530EA0">
        <w:rPr>
          <w:b/>
        </w:rPr>
        <w:t>pis wskaźników ubóstwa energetycznego</w:t>
      </w:r>
    </w:p>
    <w:tbl>
      <w:tblPr>
        <w:tblStyle w:val="Tabela-Siatka"/>
        <w:tblW w:w="8783" w:type="dxa"/>
        <w:tblBorders>
          <w:insideH w:val="dotted" w:sz="4" w:space="0" w:color="auto"/>
          <w:insideV w:val="dotted" w:sz="4" w:space="0" w:color="auto"/>
        </w:tblBorders>
        <w:tblLayout w:type="fixed"/>
        <w:tblLook w:val="04A0" w:firstRow="1" w:lastRow="0" w:firstColumn="1" w:lastColumn="0" w:noHBand="0" w:noVBand="1"/>
      </w:tblPr>
      <w:tblGrid>
        <w:gridCol w:w="1695"/>
        <w:gridCol w:w="1319"/>
        <w:gridCol w:w="1233"/>
        <w:gridCol w:w="1276"/>
        <w:gridCol w:w="1559"/>
        <w:gridCol w:w="1701"/>
      </w:tblGrid>
      <w:tr w:rsidR="00160DFE" w:rsidRPr="001247FB" w14:paraId="511F9D0A" w14:textId="77777777" w:rsidTr="00160DFE">
        <w:tc>
          <w:tcPr>
            <w:tcW w:w="1695" w:type="dxa"/>
            <w:tcBorders>
              <w:top w:val="single" w:sz="4" w:space="0" w:color="000000"/>
              <w:bottom w:val="single" w:sz="4" w:space="0" w:color="000000"/>
            </w:tcBorders>
            <w:shd w:val="clear" w:color="auto" w:fill="FFFF00"/>
            <w:vAlign w:val="center"/>
          </w:tcPr>
          <w:p w14:paraId="1FF814D9" w14:textId="64882AAD" w:rsidR="00160DFE" w:rsidRPr="001247FB" w:rsidRDefault="00160DFE" w:rsidP="00160DFE">
            <w:pPr>
              <w:pStyle w:val="Bullety"/>
              <w:numPr>
                <w:ilvl w:val="0"/>
                <w:numId w:val="0"/>
              </w:numPr>
              <w:jc w:val="center"/>
              <w:rPr>
                <w:rFonts w:cs="Arial"/>
                <w:b/>
                <w:sz w:val="18"/>
                <w:szCs w:val="18"/>
              </w:rPr>
            </w:pPr>
            <w:r w:rsidRPr="001247FB">
              <w:rPr>
                <w:rFonts w:cs="Arial"/>
                <w:b/>
                <w:sz w:val="18"/>
                <w:szCs w:val="18"/>
              </w:rPr>
              <w:t>Wskaźnik</w:t>
            </w:r>
          </w:p>
        </w:tc>
        <w:tc>
          <w:tcPr>
            <w:tcW w:w="1319" w:type="dxa"/>
            <w:tcBorders>
              <w:top w:val="single" w:sz="4" w:space="0" w:color="000000"/>
              <w:bottom w:val="single" w:sz="4" w:space="0" w:color="000000"/>
            </w:tcBorders>
            <w:shd w:val="clear" w:color="auto" w:fill="FFFF00"/>
            <w:vAlign w:val="center"/>
          </w:tcPr>
          <w:p w14:paraId="5D75D377" w14:textId="7ECE94D3" w:rsidR="00160DFE" w:rsidRPr="001247FB" w:rsidRDefault="00160DFE" w:rsidP="00160DFE">
            <w:pPr>
              <w:pStyle w:val="Bullety"/>
              <w:numPr>
                <w:ilvl w:val="0"/>
                <w:numId w:val="0"/>
              </w:numPr>
              <w:jc w:val="center"/>
              <w:rPr>
                <w:rFonts w:cs="Arial"/>
                <w:b/>
                <w:sz w:val="18"/>
                <w:szCs w:val="18"/>
              </w:rPr>
            </w:pPr>
            <w:r w:rsidRPr="001247FB">
              <w:rPr>
                <w:rFonts w:cs="Arial"/>
                <w:b/>
                <w:sz w:val="18"/>
                <w:szCs w:val="18"/>
              </w:rPr>
              <w:t>Kategoria</w:t>
            </w:r>
          </w:p>
        </w:tc>
        <w:tc>
          <w:tcPr>
            <w:tcW w:w="1233" w:type="dxa"/>
            <w:tcBorders>
              <w:top w:val="single" w:sz="4" w:space="0" w:color="000000"/>
              <w:bottom w:val="single" w:sz="4" w:space="0" w:color="000000"/>
            </w:tcBorders>
            <w:shd w:val="clear" w:color="auto" w:fill="FFFF00"/>
            <w:vAlign w:val="center"/>
          </w:tcPr>
          <w:p w14:paraId="0C3E5F24" w14:textId="4A9C74C4" w:rsidR="00160DFE" w:rsidRPr="001247FB" w:rsidRDefault="00160DFE" w:rsidP="00160DFE">
            <w:pPr>
              <w:pStyle w:val="Bullety"/>
              <w:numPr>
                <w:ilvl w:val="0"/>
                <w:numId w:val="0"/>
              </w:numPr>
              <w:jc w:val="center"/>
              <w:rPr>
                <w:rFonts w:cs="Arial"/>
                <w:b/>
                <w:sz w:val="18"/>
                <w:szCs w:val="18"/>
              </w:rPr>
            </w:pPr>
            <w:r w:rsidRPr="001247FB">
              <w:rPr>
                <w:rFonts w:cs="Arial"/>
                <w:b/>
                <w:sz w:val="18"/>
                <w:szCs w:val="18"/>
              </w:rPr>
              <w:t>Metoda</w:t>
            </w:r>
          </w:p>
        </w:tc>
        <w:tc>
          <w:tcPr>
            <w:tcW w:w="1276" w:type="dxa"/>
            <w:tcBorders>
              <w:top w:val="single" w:sz="4" w:space="0" w:color="000000"/>
              <w:bottom w:val="single" w:sz="4" w:space="0" w:color="000000"/>
            </w:tcBorders>
            <w:shd w:val="clear" w:color="auto" w:fill="FFFF00"/>
            <w:vAlign w:val="center"/>
          </w:tcPr>
          <w:p w14:paraId="4FD49290" w14:textId="56DA27C8" w:rsidR="00160DFE" w:rsidRPr="001247FB" w:rsidRDefault="00160DFE" w:rsidP="00160DFE">
            <w:pPr>
              <w:jc w:val="center"/>
              <w:rPr>
                <w:rFonts w:cs="Arial"/>
                <w:b/>
                <w:szCs w:val="18"/>
                <w:lang w:val="pl-PL"/>
              </w:rPr>
            </w:pPr>
            <w:r w:rsidRPr="001247FB">
              <w:rPr>
                <w:rFonts w:cs="Arial"/>
                <w:b/>
                <w:szCs w:val="18"/>
                <w:lang w:val="pl-PL"/>
              </w:rPr>
              <w:t>Typ</w:t>
            </w:r>
          </w:p>
        </w:tc>
        <w:tc>
          <w:tcPr>
            <w:tcW w:w="1559" w:type="dxa"/>
            <w:tcBorders>
              <w:top w:val="single" w:sz="4" w:space="0" w:color="000000"/>
              <w:bottom w:val="single" w:sz="4" w:space="0" w:color="000000"/>
            </w:tcBorders>
            <w:shd w:val="clear" w:color="auto" w:fill="FFFF00"/>
            <w:vAlign w:val="center"/>
          </w:tcPr>
          <w:p w14:paraId="290777C7" w14:textId="212B59F4" w:rsidR="00160DFE" w:rsidRPr="001247FB" w:rsidRDefault="00160DFE" w:rsidP="00160DFE">
            <w:pPr>
              <w:pStyle w:val="Bullety"/>
              <w:numPr>
                <w:ilvl w:val="0"/>
                <w:numId w:val="0"/>
              </w:numPr>
              <w:jc w:val="center"/>
              <w:rPr>
                <w:rFonts w:cs="Arial"/>
                <w:b/>
                <w:sz w:val="18"/>
                <w:szCs w:val="18"/>
              </w:rPr>
            </w:pPr>
            <w:r w:rsidRPr="001247FB">
              <w:rPr>
                <w:rFonts w:cs="Arial"/>
                <w:b/>
                <w:sz w:val="18"/>
                <w:szCs w:val="18"/>
              </w:rPr>
              <w:t xml:space="preserve">Doświadczenie w </w:t>
            </w:r>
            <w:r>
              <w:rPr>
                <w:rFonts w:cs="Arial"/>
                <w:b/>
                <w:sz w:val="18"/>
                <w:szCs w:val="18"/>
              </w:rPr>
              <w:t>identyfikacji</w:t>
            </w:r>
            <w:r w:rsidRPr="001247FB">
              <w:rPr>
                <w:rFonts w:cs="Arial"/>
                <w:b/>
                <w:sz w:val="18"/>
                <w:szCs w:val="18"/>
              </w:rPr>
              <w:t xml:space="preserve"> ubóstwa</w:t>
            </w:r>
          </w:p>
        </w:tc>
        <w:tc>
          <w:tcPr>
            <w:tcW w:w="1701" w:type="dxa"/>
            <w:tcBorders>
              <w:top w:val="single" w:sz="4" w:space="0" w:color="000000"/>
              <w:bottom w:val="single" w:sz="4" w:space="0" w:color="000000"/>
            </w:tcBorders>
            <w:shd w:val="clear" w:color="auto" w:fill="FFFF00"/>
            <w:vAlign w:val="center"/>
          </w:tcPr>
          <w:p w14:paraId="1E8AE27D" w14:textId="2FBC43F7" w:rsidR="00160DFE" w:rsidRPr="001247FB" w:rsidRDefault="00160DFE" w:rsidP="00160DFE">
            <w:pPr>
              <w:pStyle w:val="Bullety"/>
              <w:numPr>
                <w:ilvl w:val="0"/>
                <w:numId w:val="0"/>
              </w:numPr>
              <w:jc w:val="center"/>
              <w:rPr>
                <w:rFonts w:cs="Arial"/>
                <w:b/>
                <w:sz w:val="18"/>
                <w:szCs w:val="18"/>
              </w:rPr>
            </w:pPr>
            <w:r w:rsidRPr="001247FB">
              <w:rPr>
                <w:rFonts w:cs="Arial"/>
                <w:b/>
                <w:sz w:val="18"/>
                <w:szCs w:val="18"/>
              </w:rPr>
              <w:t>Właściwy dla danego kraju / międzynarodowo dostępny i porównywalny</w:t>
            </w:r>
          </w:p>
        </w:tc>
      </w:tr>
      <w:tr w:rsidR="00160DFE" w:rsidRPr="001247FB" w14:paraId="3BE7DACD" w14:textId="77777777" w:rsidTr="00160DFE">
        <w:tc>
          <w:tcPr>
            <w:tcW w:w="1695" w:type="dxa"/>
            <w:tcBorders>
              <w:top w:val="single" w:sz="4" w:space="0" w:color="000000"/>
            </w:tcBorders>
            <w:vAlign w:val="center"/>
          </w:tcPr>
          <w:p w14:paraId="44D87B59" w14:textId="4618E602" w:rsidR="00160DFE" w:rsidRPr="001247FB" w:rsidRDefault="00160DFE" w:rsidP="00160DFE">
            <w:pPr>
              <w:pStyle w:val="Bullety"/>
              <w:numPr>
                <w:ilvl w:val="0"/>
                <w:numId w:val="0"/>
              </w:numPr>
              <w:jc w:val="center"/>
              <w:rPr>
                <w:rFonts w:cs="Arial"/>
                <w:sz w:val="18"/>
                <w:szCs w:val="18"/>
              </w:rPr>
            </w:pPr>
            <w:r w:rsidRPr="001247FB">
              <w:rPr>
                <w:rFonts w:cs="Arial"/>
                <w:sz w:val="18"/>
                <w:szCs w:val="18"/>
              </w:rPr>
              <w:t>Wysokie Koszty, Niskie Dochody</w:t>
            </w:r>
          </w:p>
        </w:tc>
        <w:tc>
          <w:tcPr>
            <w:tcW w:w="1319" w:type="dxa"/>
            <w:tcBorders>
              <w:top w:val="single" w:sz="4" w:space="0" w:color="000000"/>
            </w:tcBorders>
            <w:vAlign w:val="center"/>
          </w:tcPr>
          <w:p w14:paraId="7D058693" w14:textId="6E915884" w:rsidR="00160DFE" w:rsidRPr="001247FB" w:rsidRDefault="00160DFE" w:rsidP="00160DFE">
            <w:pPr>
              <w:pStyle w:val="Bullety"/>
              <w:numPr>
                <w:ilvl w:val="0"/>
                <w:numId w:val="0"/>
              </w:numPr>
              <w:jc w:val="center"/>
              <w:rPr>
                <w:rFonts w:cs="Arial"/>
                <w:sz w:val="18"/>
                <w:szCs w:val="18"/>
              </w:rPr>
            </w:pPr>
            <w:r w:rsidRPr="001247FB">
              <w:rPr>
                <w:rFonts w:cs="Arial"/>
                <w:sz w:val="18"/>
                <w:szCs w:val="18"/>
              </w:rPr>
              <w:t>Dochody / wydatki</w:t>
            </w:r>
          </w:p>
        </w:tc>
        <w:tc>
          <w:tcPr>
            <w:tcW w:w="1233" w:type="dxa"/>
            <w:tcBorders>
              <w:top w:val="single" w:sz="4" w:space="0" w:color="000000"/>
            </w:tcBorders>
            <w:vAlign w:val="center"/>
          </w:tcPr>
          <w:p w14:paraId="5808B348" w14:textId="65358E40" w:rsidR="00160DFE" w:rsidRPr="001247FB" w:rsidRDefault="00160DFE" w:rsidP="00160DFE">
            <w:pPr>
              <w:pStyle w:val="Bullety"/>
              <w:numPr>
                <w:ilvl w:val="0"/>
                <w:numId w:val="0"/>
              </w:numPr>
              <w:jc w:val="center"/>
              <w:rPr>
                <w:rFonts w:cs="Arial"/>
                <w:sz w:val="18"/>
                <w:szCs w:val="18"/>
              </w:rPr>
            </w:pPr>
            <w:r w:rsidRPr="001247FB">
              <w:rPr>
                <w:rFonts w:cs="Arial"/>
                <w:sz w:val="18"/>
                <w:szCs w:val="18"/>
              </w:rPr>
              <w:t>Wskaźnik złożony</w:t>
            </w:r>
          </w:p>
        </w:tc>
        <w:tc>
          <w:tcPr>
            <w:tcW w:w="1276" w:type="dxa"/>
            <w:tcBorders>
              <w:top w:val="single" w:sz="4" w:space="0" w:color="000000"/>
            </w:tcBorders>
            <w:vAlign w:val="center"/>
          </w:tcPr>
          <w:p w14:paraId="60D2B0FD" w14:textId="2AB86401" w:rsidR="00160DFE" w:rsidRPr="001247FB" w:rsidRDefault="00160DFE" w:rsidP="00160DFE">
            <w:pPr>
              <w:pStyle w:val="Bullety"/>
              <w:numPr>
                <w:ilvl w:val="0"/>
                <w:numId w:val="0"/>
              </w:numPr>
              <w:jc w:val="center"/>
              <w:rPr>
                <w:rFonts w:cs="Arial"/>
                <w:sz w:val="18"/>
                <w:szCs w:val="18"/>
              </w:rPr>
            </w:pPr>
            <w:r w:rsidRPr="001247FB">
              <w:rPr>
                <w:rFonts w:cs="Arial"/>
                <w:sz w:val="18"/>
                <w:szCs w:val="18"/>
              </w:rPr>
              <w:t>Obiektywny</w:t>
            </w:r>
          </w:p>
        </w:tc>
        <w:tc>
          <w:tcPr>
            <w:tcW w:w="1559" w:type="dxa"/>
            <w:tcBorders>
              <w:top w:val="single" w:sz="4" w:space="0" w:color="000000"/>
            </w:tcBorders>
            <w:vAlign w:val="center"/>
          </w:tcPr>
          <w:p w14:paraId="0DDCBFF7" w14:textId="359CEB8F" w:rsidR="00160DFE" w:rsidRPr="001247FB" w:rsidRDefault="00160DFE" w:rsidP="00160DFE">
            <w:pPr>
              <w:pStyle w:val="Bullety"/>
              <w:numPr>
                <w:ilvl w:val="0"/>
                <w:numId w:val="0"/>
              </w:numPr>
              <w:jc w:val="center"/>
              <w:rPr>
                <w:rFonts w:cs="Arial"/>
                <w:sz w:val="18"/>
                <w:szCs w:val="18"/>
              </w:rPr>
            </w:pPr>
            <w:r w:rsidRPr="001247FB">
              <w:rPr>
                <w:rFonts w:cs="Arial"/>
                <w:sz w:val="18"/>
                <w:szCs w:val="18"/>
              </w:rPr>
              <w:t>Polityki i literatura</w:t>
            </w:r>
          </w:p>
        </w:tc>
        <w:tc>
          <w:tcPr>
            <w:tcW w:w="1701" w:type="dxa"/>
            <w:tcBorders>
              <w:top w:val="single" w:sz="4" w:space="0" w:color="000000"/>
            </w:tcBorders>
            <w:vAlign w:val="center"/>
          </w:tcPr>
          <w:p w14:paraId="68BD2957" w14:textId="4D5E7636" w:rsidR="00160DFE" w:rsidRPr="001247FB" w:rsidRDefault="00160DFE" w:rsidP="00160DFE">
            <w:pPr>
              <w:pStyle w:val="Bullety"/>
              <w:numPr>
                <w:ilvl w:val="0"/>
                <w:numId w:val="0"/>
              </w:numPr>
              <w:jc w:val="center"/>
              <w:rPr>
                <w:rFonts w:cs="Arial"/>
                <w:sz w:val="18"/>
                <w:szCs w:val="18"/>
              </w:rPr>
            </w:pPr>
            <w:r w:rsidRPr="001247FB">
              <w:rPr>
                <w:rFonts w:cs="Arial"/>
                <w:sz w:val="18"/>
                <w:szCs w:val="18"/>
              </w:rPr>
              <w:t>Międzynarodowo porównywalny</w:t>
            </w:r>
          </w:p>
        </w:tc>
      </w:tr>
      <w:tr w:rsidR="00160DFE" w:rsidRPr="001247FB" w14:paraId="7A79F096" w14:textId="77777777" w:rsidTr="00160DFE">
        <w:tc>
          <w:tcPr>
            <w:tcW w:w="1695" w:type="dxa"/>
            <w:shd w:val="clear" w:color="auto" w:fill="FFFFFF" w:themeFill="background1"/>
            <w:vAlign w:val="center"/>
          </w:tcPr>
          <w:p w14:paraId="48C1CF67" w14:textId="2E59D707" w:rsidR="00160DFE" w:rsidRPr="001247FB" w:rsidRDefault="00160DFE" w:rsidP="00160DFE">
            <w:pPr>
              <w:pStyle w:val="Bullety"/>
              <w:numPr>
                <w:ilvl w:val="0"/>
                <w:numId w:val="0"/>
              </w:numPr>
              <w:jc w:val="center"/>
              <w:rPr>
                <w:rFonts w:cs="Arial"/>
                <w:sz w:val="18"/>
                <w:szCs w:val="18"/>
              </w:rPr>
            </w:pPr>
            <w:r w:rsidRPr="001247FB">
              <w:rPr>
                <w:rFonts w:cs="Arial"/>
                <w:sz w:val="18"/>
                <w:szCs w:val="18"/>
              </w:rPr>
              <w:t>Udział wymaganych wydatków na energię względem dochodu</w:t>
            </w:r>
          </w:p>
        </w:tc>
        <w:tc>
          <w:tcPr>
            <w:tcW w:w="1319" w:type="dxa"/>
            <w:shd w:val="clear" w:color="auto" w:fill="FFFFFF" w:themeFill="background1"/>
            <w:vAlign w:val="center"/>
          </w:tcPr>
          <w:p w14:paraId="4C4BF781" w14:textId="1840619C" w:rsidR="00160DFE" w:rsidRPr="001247FB" w:rsidRDefault="00160DFE" w:rsidP="00160DFE">
            <w:pPr>
              <w:pStyle w:val="Bullety"/>
              <w:numPr>
                <w:ilvl w:val="0"/>
                <w:numId w:val="0"/>
              </w:numPr>
              <w:jc w:val="center"/>
              <w:rPr>
                <w:rFonts w:cs="Arial"/>
                <w:sz w:val="18"/>
                <w:szCs w:val="18"/>
              </w:rPr>
            </w:pPr>
            <w:r w:rsidRPr="001247FB">
              <w:rPr>
                <w:rFonts w:cs="Arial"/>
                <w:sz w:val="18"/>
                <w:szCs w:val="18"/>
              </w:rPr>
              <w:t>Dochody / wydatki</w:t>
            </w:r>
          </w:p>
        </w:tc>
        <w:tc>
          <w:tcPr>
            <w:tcW w:w="1233" w:type="dxa"/>
            <w:shd w:val="clear" w:color="auto" w:fill="FFFFFF" w:themeFill="background1"/>
            <w:vAlign w:val="center"/>
          </w:tcPr>
          <w:p w14:paraId="1962EF2D" w14:textId="3D6C2629" w:rsidR="00160DFE" w:rsidRPr="001247FB" w:rsidRDefault="00160DFE" w:rsidP="00160DFE">
            <w:pPr>
              <w:pStyle w:val="Bullety"/>
              <w:numPr>
                <w:ilvl w:val="0"/>
                <w:numId w:val="0"/>
              </w:numPr>
              <w:jc w:val="center"/>
              <w:rPr>
                <w:rFonts w:cs="Arial"/>
                <w:sz w:val="18"/>
                <w:szCs w:val="18"/>
              </w:rPr>
            </w:pPr>
            <w:r w:rsidRPr="001247FB">
              <w:rPr>
                <w:rFonts w:cs="Arial"/>
                <w:sz w:val="18"/>
                <w:szCs w:val="18"/>
              </w:rPr>
              <w:t>Wskaźnik złożony</w:t>
            </w:r>
          </w:p>
        </w:tc>
        <w:tc>
          <w:tcPr>
            <w:tcW w:w="1276" w:type="dxa"/>
            <w:shd w:val="clear" w:color="auto" w:fill="FFFFFF" w:themeFill="background1"/>
            <w:vAlign w:val="center"/>
          </w:tcPr>
          <w:p w14:paraId="037E46A0" w14:textId="47112217" w:rsidR="00160DFE" w:rsidRPr="001247FB" w:rsidRDefault="00160DFE" w:rsidP="00160DFE">
            <w:pPr>
              <w:pStyle w:val="Bullety"/>
              <w:numPr>
                <w:ilvl w:val="0"/>
                <w:numId w:val="0"/>
              </w:numPr>
              <w:jc w:val="center"/>
              <w:rPr>
                <w:rFonts w:cs="Arial"/>
                <w:sz w:val="18"/>
                <w:szCs w:val="18"/>
              </w:rPr>
            </w:pPr>
            <w:r w:rsidRPr="001247FB">
              <w:rPr>
                <w:rFonts w:cs="Arial"/>
                <w:sz w:val="18"/>
                <w:szCs w:val="18"/>
              </w:rPr>
              <w:t>Obiektywny</w:t>
            </w:r>
          </w:p>
        </w:tc>
        <w:tc>
          <w:tcPr>
            <w:tcW w:w="1559" w:type="dxa"/>
            <w:shd w:val="clear" w:color="auto" w:fill="FFFFFF" w:themeFill="background1"/>
            <w:vAlign w:val="center"/>
          </w:tcPr>
          <w:p w14:paraId="1E682139" w14:textId="51BA3DA0" w:rsidR="00160DFE" w:rsidRPr="001247FB" w:rsidRDefault="00160DFE" w:rsidP="00160DFE">
            <w:pPr>
              <w:pStyle w:val="Bullety"/>
              <w:numPr>
                <w:ilvl w:val="0"/>
                <w:numId w:val="0"/>
              </w:numPr>
              <w:jc w:val="center"/>
              <w:rPr>
                <w:rFonts w:cs="Arial"/>
                <w:sz w:val="18"/>
                <w:szCs w:val="18"/>
              </w:rPr>
            </w:pPr>
            <w:r w:rsidRPr="001247FB">
              <w:rPr>
                <w:rFonts w:cs="Arial"/>
                <w:sz w:val="18"/>
                <w:szCs w:val="18"/>
              </w:rPr>
              <w:t>Polityki i literatura</w:t>
            </w:r>
          </w:p>
        </w:tc>
        <w:tc>
          <w:tcPr>
            <w:tcW w:w="1701" w:type="dxa"/>
            <w:shd w:val="clear" w:color="auto" w:fill="FFFFFF" w:themeFill="background1"/>
            <w:vAlign w:val="center"/>
          </w:tcPr>
          <w:p w14:paraId="1BCF4AEC" w14:textId="16778E45" w:rsidR="00160DFE" w:rsidRPr="001247FB" w:rsidRDefault="00160DFE" w:rsidP="00160DFE">
            <w:pPr>
              <w:pStyle w:val="Bullety"/>
              <w:numPr>
                <w:ilvl w:val="0"/>
                <w:numId w:val="0"/>
              </w:numPr>
              <w:jc w:val="center"/>
              <w:rPr>
                <w:rFonts w:cs="Arial"/>
                <w:sz w:val="18"/>
                <w:szCs w:val="18"/>
              </w:rPr>
            </w:pPr>
            <w:r w:rsidRPr="001247FB">
              <w:rPr>
                <w:rFonts w:cs="Arial"/>
                <w:sz w:val="18"/>
                <w:szCs w:val="18"/>
              </w:rPr>
              <w:t>Międzynarodowo porównywalny</w:t>
            </w:r>
          </w:p>
        </w:tc>
      </w:tr>
      <w:tr w:rsidR="00160DFE" w:rsidRPr="001247FB" w14:paraId="181C7E7D" w14:textId="77777777" w:rsidTr="00160DFE">
        <w:tc>
          <w:tcPr>
            <w:tcW w:w="1695" w:type="dxa"/>
            <w:shd w:val="clear" w:color="auto" w:fill="FFFFFF" w:themeFill="background1"/>
            <w:vAlign w:val="center"/>
          </w:tcPr>
          <w:p w14:paraId="330F94D1" w14:textId="479B0654" w:rsidR="00160DFE" w:rsidRPr="001247FB" w:rsidRDefault="00160DFE" w:rsidP="00160DFE">
            <w:pPr>
              <w:pStyle w:val="Bullety"/>
              <w:numPr>
                <w:ilvl w:val="0"/>
                <w:numId w:val="0"/>
              </w:numPr>
              <w:jc w:val="center"/>
              <w:rPr>
                <w:rFonts w:cs="Arial"/>
                <w:sz w:val="18"/>
                <w:szCs w:val="18"/>
              </w:rPr>
            </w:pPr>
            <w:r w:rsidRPr="001247FB">
              <w:rPr>
                <w:rFonts w:cs="Arial"/>
                <w:sz w:val="18"/>
                <w:szCs w:val="18"/>
              </w:rPr>
              <w:t>Podwójna mediana wydatków na energię</w:t>
            </w:r>
          </w:p>
        </w:tc>
        <w:tc>
          <w:tcPr>
            <w:tcW w:w="1319" w:type="dxa"/>
            <w:shd w:val="clear" w:color="auto" w:fill="FFFFFF" w:themeFill="background1"/>
            <w:vAlign w:val="center"/>
          </w:tcPr>
          <w:p w14:paraId="0AA7146F" w14:textId="468DAB1A" w:rsidR="00160DFE" w:rsidRPr="001247FB" w:rsidRDefault="00160DFE" w:rsidP="00160DFE">
            <w:pPr>
              <w:pStyle w:val="Bullety"/>
              <w:numPr>
                <w:ilvl w:val="0"/>
                <w:numId w:val="0"/>
              </w:numPr>
              <w:jc w:val="center"/>
              <w:rPr>
                <w:rFonts w:cs="Arial"/>
                <w:sz w:val="18"/>
                <w:szCs w:val="18"/>
              </w:rPr>
            </w:pPr>
            <w:r w:rsidRPr="001247FB">
              <w:rPr>
                <w:rFonts w:cs="Arial"/>
                <w:sz w:val="18"/>
                <w:szCs w:val="18"/>
              </w:rPr>
              <w:t>Dochody / wydatki</w:t>
            </w:r>
          </w:p>
        </w:tc>
        <w:tc>
          <w:tcPr>
            <w:tcW w:w="1233" w:type="dxa"/>
            <w:shd w:val="clear" w:color="auto" w:fill="FFFFFF" w:themeFill="background1"/>
            <w:vAlign w:val="center"/>
          </w:tcPr>
          <w:p w14:paraId="46C78FC2" w14:textId="2EFA5720" w:rsidR="00160DFE" w:rsidRPr="001247FB" w:rsidRDefault="00160DFE" w:rsidP="00160DFE">
            <w:pPr>
              <w:pStyle w:val="Bullety"/>
              <w:numPr>
                <w:ilvl w:val="0"/>
                <w:numId w:val="0"/>
              </w:numPr>
              <w:jc w:val="center"/>
              <w:rPr>
                <w:rFonts w:cs="Arial"/>
                <w:sz w:val="18"/>
                <w:szCs w:val="18"/>
              </w:rPr>
            </w:pPr>
            <w:r w:rsidRPr="001247FB">
              <w:rPr>
                <w:rFonts w:cs="Arial"/>
                <w:sz w:val="18"/>
                <w:szCs w:val="18"/>
              </w:rPr>
              <w:t>Wskaźnik złożony</w:t>
            </w:r>
          </w:p>
        </w:tc>
        <w:tc>
          <w:tcPr>
            <w:tcW w:w="1276" w:type="dxa"/>
            <w:shd w:val="clear" w:color="auto" w:fill="FFFFFF" w:themeFill="background1"/>
            <w:vAlign w:val="center"/>
          </w:tcPr>
          <w:p w14:paraId="70E2F079" w14:textId="2C14DAFE" w:rsidR="00160DFE" w:rsidRPr="001247FB" w:rsidRDefault="00160DFE" w:rsidP="00160DFE">
            <w:pPr>
              <w:pStyle w:val="Bullety"/>
              <w:numPr>
                <w:ilvl w:val="0"/>
                <w:numId w:val="0"/>
              </w:numPr>
              <w:jc w:val="center"/>
              <w:rPr>
                <w:rFonts w:cs="Arial"/>
                <w:sz w:val="18"/>
                <w:szCs w:val="18"/>
              </w:rPr>
            </w:pPr>
            <w:r w:rsidRPr="001247FB">
              <w:rPr>
                <w:rFonts w:cs="Arial"/>
                <w:sz w:val="18"/>
                <w:szCs w:val="18"/>
              </w:rPr>
              <w:t>Obiektywny</w:t>
            </w:r>
          </w:p>
        </w:tc>
        <w:tc>
          <w:tcPr>
            <w:tcW w:w="1559" w:type="dxa"/>
            <w:shd w:val="clear" w:color="auto" w:fill="FFFFFF" w:themeFill="background1"/>
            <w:vAlign w:val="center"/>
          </w:tcPr>
          <w:p w14:paraId="4D303A7B" w14:textId="1E71C706" w:rsidR="00160DFE" w:rsidRPr="001247FB" w:rsidRDefault="00160DFE" w:rsidP="00160DFE">
            <w:pPr>
              <w:pStyle w:val="Bullety"/>
              <w:numPr>
                <w:ilvl w:val="0"/>
                <w:numId w:val="0"/>
              </w:numPr>
              <w:jc w:val="center"/>
              <w:rPr>
                <w:rFonts w:cs="Arial"/>
                <w:sz w:val="18"/>
                <w:szCs w:val="18"/>
              </w:rPr>
            </w:pPr>
            <w:r w:rsidRPr="001247FB">
              <w:rPr>
                <w:rFonts w:cs="Arial"/>
                <w:sz w:val="18"/>
                <w:szCs w:val="18"/>
              </w:rPr>
              <w:t>Polityki i literatura</w:t>
            </w:r>
          </w:p>
        </w:tc>
        <w:tc>
          <w:tcPr>
            <w:tcW w:w="1701" w:type="dxa"/>
            <w:shd w:val="clear" w:color="auto" w:fill="FFFFFF" w:themeFill="background1"/>
            <w:vAlign w:val="center"/>
          </w:tcPr>
          <w:p w14:paraId="4E406982" w14:textId="397F9159" w:rsidR="00160DFE" w:rsidRPr="001247FB" w:rsidRDefault="00160DFE" w:rsidP="00160DFE">
            <w:pPr>
              <w:pStyle w:val="Bullety"/>
              <w:numPr>
                <w:ilvl w:val="0"/>
                <w:numId w:val="0"/>
              </w:numPr>
              <w:jc w:val="center"/>
              <w:rPr>
                <w:rFonts w:cs="Arial"/>
                <w:sz w:val="18"/>
                <w:szCs w:val="18"/>
              </w:rPr>
            </w:pPr>
            <w:r w:rsidRPr="001247FB">
              <w:rPr>
                <w:rFonts w:cs="Arial"/>
                <w:sz w:val="18"/>
                <w:szCs w:val="18"/>
              </w:rPr>
              <w:t>Międzynarodowo porównywalny</w:t>
            </w:r>
          </w:p>
        </w:tc>
      </w:tr>
      <w:tr w:rsidR="00160DFE" w:rsidRPr="001247FB" w14:paraId="3B43D743" w14:textId="77777777" w:rsidTr="00160DFE">
        <w:tc>
          <w:tcPr>
            <w:tcW w:w="1695" w:type="dxa"/>
            <w:shd w:val="clear" w:color="auto" w:fill="FFFFFF" w:themeFill="background1"/>
            <w:vAlign w:val="center"/>
          </w:tcPr>
          <w:p w14:paraId="182D4838" w14:textId="214E95BD" w:rsidR="00160DFE" w:rsidRPr="001247FB" w:rsidRDefault="00160DFE" w:rsidP="00160DFE">
            <w:pPr>
              <w:pStyle w:val="Bullety"/>
              <w:numPr>
                <w:ilvl w:val="0"/>
                <w:numId w:val="0"/>
              </w:numPr>
              <w:jc w:val="center"/>
              <w:rPr>
                <w:rFonts w:cs="Arial"/>
                <w:sz w:val="18"/>
                <w:szCs w:val="18"/>
              </w:rPr>
            </w:pPr>
            <w:r w:rsidRPr="001247FB">
              <w:rPr>
                <w:rFonts w:cs="Arial"/>
                <w:sz w:val="18"/>
                <w:szCs w:val="18"/>
              </w:rPr>
              <w:t>Ukryte ubóstwo energetyczne</w:t>
            </w:r>
          </w:p>
        </w:tc>
        <w:tc>
          <w:tcPr>
            <w:tcW w:w="1319" w:type="dxa"/>
            <w:shd w:val="clear" w:color="auto" w:fill="FFFFFF" w:themeFill="background1"/>
            <w:vAlign w:val="center"/>
          </w:tcPr>
          <w:p w14:paraId="38B261E5" w14:textId="7DB0EBCF" w:rsidR="00160DFE" w:rsidRPr="001247FB" w:rsidRDefault="00160DFE" w:rsidP="00160DFE">
            <w:pPr>
              <w:pStyle w:val="Bullety"/>
              <w:numPr>
                <w:ilvl w:val="0"/>
                <w:numId w:val="0"/>
              </w:numPr>
              <w:jc w:val="center"/>
              <w:rPr>
                <w:rFonts w:cs="Arial"/>
                <w:sz w:val="18"/>
                <w:szCs w:val="18"/>
              </w:rPr>
            </w:pPr>
            <w:r w:rsidRPr="001247FB">
              <w:rPr>
                <w:rFonts w:cs="Arial"/>
                <w:sz w:val="18"/>
                <w:szCs w:val="18"/>
              </w:rPr>
              <w:t>Dochody / wydatki</w:t>
            </w:r>
          </w:p>
        </w:tc>
        <w:tc>
          <w:tcPr>
            <w:tcW w:w="1233" w:type="dxa"/>
            <w:shd w:val="clear" w:color="auto" w:fill="FFFFFF" w:themeFill="background1"/>
            <w:vAlign w:val="center"/>
          </w:tcPr>
          <w:p w14:paraId="2E627059" w14:textId="2AA6FFBC" w:rsidR="00160DFE" w:rsidRPr="001247FB" w:rsidRDefault="00160DFE" w:rsidP="00160DFE">
            <w:pPr>
              <w:pStyle w:val="Bullety"/>
              <w:numPr>
                <w:ilvl w:val="0"/>
                <w:numId w:val="0"/>
              </w:numPr>
              <w:jc w:val="center"/>
              <w:rPr>
                <w:rFonts w:cs="Arial"/>
                <w:sz w:val="18"/>
                <w:szCs w:val="18"/>
              </w:rPr>
            </w:pPr>
            <w:r w:rsidRPr="001247FB">
              <w:rPr>
                <w:rFonts w:cs="Arial"/>
                <w:sz w:val="18"/>
                <w:szCs w:val="18"/>
              </w:rPr>
              <w:t>Wskaźnik złożony</w:t>
            </w:r>
          </w:p>
        </w:tc>
        <w:tc>
          <w:tcPr>
            <w:tcW w:w="1276" w:type="dxa"/>
            <w:shd w:val="clear" w:color="auto" w:fill="FFFFFF" w:themeFill="background1"/>
            <w:vAlign w:val="center"/>
          </w:tcPr>
          <w:p w14:paraId="117CDE3A" w14:textId="30756F0A" w:rsidR="00160DFE" w:rsidRPr="001247FB" w:rsidRDefault="00160DFE" w:rsidP="00160DFE">
            <w:pPr>
              <w:pStyle w:val="Bullety"/>
              <w:numPr>
                <w:ilvl w:val="0"/>
                <w:numId w:val="0"/>
              </w:numPr>
              <w:jc w:val="center"/>
              <w:rPr>
                <w:rFonts w:cs="Arial"/>
                <w:sz w:val="18"/>
                <w:szCs w:val="18"/>
              </w:rPr>
            </w:pPr>
            <w:r w:rsidRPr="001247FB">
              <w:rPr>
                <w:rFonts w:cs="Arial"/>
                <w:sz w:val="18"/>
                <w:szCs w:val="18"/>
              </w:rPr>
              <w:t>Obiektywny</w:t>
            </w:r>
          </w:p>
        </w:tc>
        <w:tc>
          <w:tcPr>
            <w:tcW w:w="1559" w:type="dxa"/>
            <w:shd w:val="clear" w:color="auto" w:fill="FFFFFF" w:themeFill="background1"/>
            <w:vAlign w:val="center"/>
          </w:tcPr>
          <w:p w14:paraId="7E660D04" w14:textId="547FCD87" w:rsidR="00160DFE" w:rsidRPr="001247FB" w:rsidRDefault="00160DFE" w:rsidP="00160DFE">
            <w:pPr>
              <w:pStyle w:val="Bullety"/>
              <w:numPr>
                <w:ilvl w:val="0"/>
                <w:numId w:val="0"/>
              </w:numPr>
              <w:jc w:val="center"/>
              <w:rPr>
                <w:rFonts w:cs="Arial"/>
                <w:sz w:val="18"/>
                <w:szCs w:val="18"/>
              </w:rPr>
            </w:pPr>
            <w:r w:rsidRPr="001247FB">
              <w:rPr>
                <w:rFonts w:cs="Arial"/>
                <w:sz w:val="18"/>
                <w:szCs w:val="18"/>
              </w:rPr>
              <w:t>Polityki i literatura</w:t>
            </w:r>
          </w:p>
        </w:tc>
        <w:tc>
          <w:tcPr>
            <w:tcW w:w="1701" w:type="dxa"/>
            <w:shd w:val="clear" w:color="auto" w:fill="FFFFFF" w:themeFill="background1"/>
            <w:vAlign w:val="center"/>
          </w:tcPr>
          <w:p w14:paraId="2C0E4A44" w14:textId="572966F6" w:rsidR="00160DFE" w:rsidRPr="001247FB" w:rsidRDefault="00160DFE" w:rsidP="00160DFE">
            <w:pPr>
              <w:pStyle w:val="Bullety"/>
              <w:numPr>
                <w:ilvl w:val="0"/>
                <w:numId w:val="0"/>
              </w:numPr>
              <w:jc w:val="center"/>
              <w:rPr>
                <w:rFonts w:cs="Arial"/>
                <w:sz w:val="18"/>
                <w:szCs w:val="18"/>
              </w:rPr>
            </w:pPr>
            <w:r w:rsidRPr="001247FB">
              <w:rPr>
                <w:rFonts w:cs="Arial"/>
                <w:sz w:val="18"/>
                <w:szCs w:val="18"/>
              </w:rPr>
              <w:t>Międzynarodowo porównywalny</w:t>
            </w:r>
          </w:p>
        </w:tc>
      </w:tr>
      <w:tr w:rsidR="00160DFE" w:rsidRPr="001247FB" w14:paraId="0D9BE143" w14:textId="77777777" w:rsidTr="00160DFE">
        <w:tc>
          <w:tcPr>
            <w:tcW w:w="1695" w:type="dxa"/>
            <w:shd w:val="clear" w:color="auto" w:fill="FFFFFF" w:themeFill="background1"/>
            <w:vAlign w:val="center"/>
          </w:tcPr>
          <w:p w14:paraId="34A606E6" w14:textId="4AA5D335" w:rsidR="00160DFE" w:rsidRPr="001247FB" w:rsidRDefault="00160DFE" w:rsidP="00160DFE">
            <w:pPr>
              <w:pStyle w:val="Bullety"/>
              <w:numPr>
                <w:ilvl w:val="0"/>
                <w:numId w:val="0"/>
              </w:numPr>
              <w:jc w:val="center"/>
              <w:rPr>
                <w:rFonts w:cs="Arial"/>
                <w:sz w:val="18"/>
                <w:szCs w:val="18"/>
              </w:rPr>
            </w:pPr>
            <w:r w:rsidRPr="001247FB">
              <w:rPr>
                <w:rFonts w:cs="Arial"/>
                <w:sz w:val="18"/>
                <w:szCs w:val="18"/>
              </w:rPr>
              <w:t>Zdolność do terminowego opłacania rachunków</w:t>
            </w:r>
          </w:p>
        </w:tc>
        <w:tc>
          <w:tcPr>
            <w:tcW w:w="1319" w:type="dxa"/>
            <w:shd w:val="clear" w:color="auto" w:fill="FFFFFF" w:themeFill="background1"/>
            <w:vAlign w:val="center"/>
          </w:tcPr>
          <w:p w14:paraId="613578BA" w14:textId="2F00C282" w:rsidR="00160DFE" w:rsidRPr="001247FB" w:rsidRDefault="00160DFE" w:rsidP="00160DFE">
            <w:pPr>
              <w:pStyle w:val="Bullety"/>
              <w:numPr>
                <w:ilvl w:val="0"/>
                <w:numId w:val="0"/>
              </w:numPr>
              <w:jc w:val="center"/>
              <w:rPr>
                <w:rFonts w:cs="Arial"/>
                <w:sz w:val="18"/>
                <w:szCs w:val="18"/>
              </w:rPr>
            </w:pPr>
            <w:r w:rsidRPr="001247FB">
              <w:rPr>
                <w:rFonts w:cs="Arial"/>
                <w:sz w:val="18"/>
                <w:szCs w:val="18"/>
              </w:rPr>
              <w:t>Możliwości finansowe</w:t>
            </w:r>
          </w:p>
        </w:tc>
        <w:tc>
          <w:tcPr>
            <w:tcW w:w="1233" w:type="dxa"/>
            <w:shd w:val="clear" w:color="auto" w:fill="FFFFFF" w:themeFill="background1"/>
            <w:vAlign w:val="center"/>
          </w:tcPr>
          <w:p w14:paraId="5B656C62" w14:textId="7387D922" w:rsidR="00160DFE" w:rsidRPr="001247FB" w:rsidRDefault="00160DFE" w:rsidP="00160DFE">
            <w:pPr>
              <w:pStyle w:val="Bullety"/>
              <w:numPr>
                <w:ilvl w:val="0"/>
                <w:numId w:val="0"/>
              </w:numPr>
              <w:jc w:val="center"/>
              <w:rPr>
                <w:rFonts w:cs="Arial"/>
                <w:sz w:val="18"/>
                <w:szCs w:val="18"/>
              </w:rPr>
            </w:pPr>
            <w:r w:rsidRPr="001247FB">
              <w:rPr>
                <w:rFonts w:cs="Arial"/>
                <w:sz w:val="18"/>
                <w:szCs w:val="18"/>
              </w:rPr>
              <w:t>Pojedynczy wskaźnik</w:t>
            </w:r>
          </w:p>
        </w:tc>
        <w:tc>
          <w:tcPr>
            <w:tcW w:w="1276" w:type="dxa"/>
            <w:shd w:val="clear" w:color="auto" w:fill="FFFFFF" w:themeFill="background1"/>
            <w:vAlign w:val="center"/>
          </w:tcPr>
          <w:p w14:paraId="5CFBCC42" w14:textId="709F875C" w:rsidR="00160DFE" w:rsidRPr="001247FB" w:rsidRDefault="00160DFE" w:rsidP="00160DFE">
            <w:pPr>
              <w:pStyle w:val="Bullety"/>
              <w:numPr>
                <w:ilvl w:val="0"/>
                <w:numId w:val="0"/>
              </w:numPr>
              <w:jc w:val="center"/>
              <w:rPr>
                <w:rFonts w:cs="Arial"/>
                <w:sz w:val="18"/>
                <w:szCs w:val="18"/>
              </w:rPr>
            </w:pPr>
            <w:r w:rsidRPr="001247FB">
              <w:rPr>
                <w:rFonts w:cs="Arial"/>
                <w:sz w:val="18"/>
                <w:szCs w:val="18"/>
              </w:rPr>
              <w:t>Subiektywny</w:t>
            </w:r>
          </w:p>
        </w:tc>
        <w:tc>
          <w:tcPr>
            <w:tcW w:w="1559" w:type="dxa"/>
            <w:shd w:val="clear" w:color="auto" w:fill="FFFFFF" w:themeFill="background1"/>
            <w:vAlign w:val="center"/>
          </w:tcPr>
          <w:p w14:paraId="42D7E5F4" w14:textId="1BC178CC" w:rsidR="00160DFE" w:rsidRPr="001247FB" w:rsidRDefault="00160DFE" w:rsidP="00160DFE">
            <w:pPr>
              <w:pStyle w:val="Bullety"/>
              <w:numPr>
                <w:ilvl w:val="0"/>
                <w:numId w:val="0"/>
              </w:numPr>
              <w:jc w:val="center"/>
              <w:rPr>
                <w:rFonts w:cs="Arial"/>
                <w:sz w:val="18"/>
                <w:szCs w:val="18"/>
              </w:rPr>
            </w:pPr>
            <w:r w:rsidRPr="001247FB">
              <w:rPr>
                <w:rFonts w:cs="Arial"/>
                <w:sz w:val="18"/>
                <w:szCs w:val="18"/>
              </w:rPr>
              <w:t>Literatura</w:t>
            </w:r>
          </w:p>
        </w:tc>
        <w:tc>
          <w:tcPr>
            <w:tcW w:w="1701" w:type="dxa"/>
            <w:shd w:val="clear" w:color="auto" w:fill="FFFFFF" w:themeFill="background1"/>
            <w:vAlign w:val="center"/>
          </w:tcPr>
          <w:p w14:paraId="6F9DA3A5" w14:textId="76489D7E" w:rsidR="00160DFE" w:rsidRPr="001247FB" w:rsidRDefault="00160DFE" w:rsidP="00160DFE">
            <w:pPr>
              <w:pStyle w:val="Bullety"/>
              <w:numPr>
                <w:ilvl w:val="0"/>
                <w:numId w:val="0"/>
              </w:numPr>
              <w:jc w:val="center"/>
              <w:rPr>
                <w:rFonts w:cs="Arial"/>
                <w:sz w:val="18"/>
                <w:szCs w:val="18"/>
              </w:rPr>
            </w:pPr>
            <w:r w:rsidRPr="001247FB">
              <w:rPr>
                <w:rFonts w:cs="Arial"/>
                <w:sz w:val="18"/>
                <w:szCs w:val="18"/>
              </w:rPr>
              <w:t>Międzynarodowo porównywalny</w:t>
            </w:r>
          </w:p>
        </w:tc>
      </w:tr>
      <w:tr w:rsidR="00160DFE" w:rsidRPr="001247FB" w14:paraId="0633DBDA" w14:textId="77777777" w:rsidTr="00160DFE">
        <w:tc>
          <w:tcPr>
            <w:tcW w:w="1695" w:type="dxa"/>
            <w:shd w:val="clear" w:color="auto" w:fill="FFFFFF" w:themeFill="background1"/>
            <w:vAlign w:val="center"/>
          </w:tcPr>
          <w:p w14:paraId="301D859B" w14:textId="3626640F" w:rsidR="00160DFE" w:rsidRPr="001247FB" w:rsidRDefault="00160DFE" w:rsidP="00160DFE">
            <w:pPr>
              <w:pStyle w:val="Bullety"/>
              <w:numPr>
                <w:ilvl w:val="0"/>
                <w:numId w:val="0"/>
              </w:numPr>
              <w:jc w:val="center"/>
              <w:rPr>
                <w:rFonts w:cs="Arial"/>
                <w:sz w:val="18"/>
                <w:szCs w:val="18"/>
              </w:rPr>
            </w:pPr>
            <w:r w:rsidRPr="001247FB">
              <w:rPr>
                <w:rFonts w:cs="Arial"/>
                <w:sz w:val="18"/>
                <w:szCs w:val="18"/>
              </w:rPr>
              <w:t>Budynek z przeciekającym dachem, zawilgoconymi ścianami, podłogami, fundamentami, butwiejącymi oknami lub podłogami</w:t>
            </w:r>
          </w:p>
        </w:tc>
        <w:tc>
          <w:tcPr>
            <w:tcW w:w="1319" w:type="dxa"/>
            <w:shd w:val="clear" w:color="auto" w:fill="FFFFFF" w:themeFill="background1"/>
            <w:vAlign w:val="center"/>
          </w:tcPr>
          <w:p w14:paraId="1F30D83B" w14:textId="4C1F1D72" w:rsidR="00160DFE" w:rsidRPr="001247FB" w:rsidRDefault="00160DFE" w:rsidP="00160DFE">
            <w:pPr>
              <w:pStyle w:val="Bullety"/>
              <w:numPr>
                <w:ilvl w:val="0"/>
                <w:numId w:val="0"/>
              </w:numPr>
              <w:jc w:val="center"/>
              <w:rPr>
                <w:rFonts w:cs="Arial"/>
                <w:sz w:val="18"/>
                <w:szCs w:val="18"/>
              </w:rPr>
            </w:pPr>
            <w:r w:rsidRPr="001247FB">
              <w:rPr>
                <w:rFonts w:cs="Arial"/>
                <w:sz w:val="18"/>
                <w:szCs w:val="18"/>
              </w:rPr>
              <w:t>Infrastruktura</w:t>
            </w:r>
          </w:p>
        </w:tc>
        <w:tc>
          <w:tcPr>
            <w:tcW w:w="1233" w:type="dxa"/>
            <w:shd w:val="clear" w:color="auto" w:fill="FFFFFF" w:themeFill="background1"/>
            <w:vAlign w:val="center"/>
          </w:tcPr>
          <w:p w14:paraId="2FE406F5" w14:textId="07097F03" w:rsidR="00160DFE" w:rsidRPr="001247FB" w:rsidRDefault="00160DFE" w:rsidP="00160DFE">
            <w:pPr>
              <w:pStyle w:val="Bullety"/>
              <w:numPr>
                <w:ilvl w:val="0"/>
                <w:numId w:val="0"/>
              </w:numPr>
              <w:jc w:val="center"/>
              <w:rPr>
                <w:rFonts w:cs="Arial"/>
                <w:sz w:val="18"/>
                <w:szCs w:val="18"/>
              </w:rPr>
            </w:pPr>
            <w:r w:rsidRPr="001247FB">
              <w:rPr>
                <w:rFonts w:cs="Arial"/>
                <w:sz w:val="18"/>
                <w:szCs w:val="18"/>
              </w:rPr>
              <w:t>Pojedynczy wskaźnik</w:t>
            </w:r>
          </w:p>
        </w:tc>
        <w:tc>
          <w:tcPr>
            <w:tcW w:w="1276" w:type="dxa"/>
            <w:shd w:val="clear" w:color="auto" w:fill="FFFFFF" w:themeFill="background1"/>
            <w:vAlign w:val="center"/>
          </w:tcPr>
          <w:p w14:paraId="59EBAF55" w14:textId="749D2DCB" w:rsidR="00160DFE" w:rsidRPr="001247FB" w:rsidRDefault="00160DFE" w:rsidP="00160DFE">
            <w:pPr>
              <w:pStyle w:val="Bullety"/>
              <w:numPr>
                <w:ilvl w:val="0"/>
                <w:numId w:val="0"/>
              </w:numPr>
              <w:jc w:val="center"/>
              <w:rPr>
                <w:rFonts w:cs="Arial"/>
                <w:sz w:val="18"/>
                <w:szCs w:val="18"/>
              </w:rPr>
            </w:pPr>
            <w:r w:rsidRPr="001247FB">
              <w:rPr>
                <w:rFonts w:cs="Arial"/>
                <w:sz w:val="18"/>
                <w:szCs w:val="18"/>
              </w:rPr>
              <w:t>Subiektywny</w:t>
            </w:r>
          </w:p>
        </w:tc>
        <w:tc>
          <w:tcPr>
            <w:tcW w:w="1559" w:type="dxa"/>
            <w:shd w:val="clear" w:color="auto" w:fill="FFFFFF" w:themeFill="background1"/>
            <w:vAlign w:val="center"/>
          </w:tcPr>
          <w:p w14:paraId="41B230E9" w14:textId="0F61D79E" w:rsidR="00160DFE" w:rsidRPr="001247FB" w:rsidRDefault="00160DFE" w:rsidP="00160DFE">
            <w:pPr>
              <w:pStyle w:val="Bullety"/>
              <w:numPr>
                <w:ilvl w:val="0"/>
                <w:numId w:val="0"/>
              </w:numPr>
              <w:jc w:val="center"/>
              <w:rPr>
                <w:rFonts w:cs="Arial"/>
                <w:sz w:val="18"/>
                <w:szCs w:val="18"/>
              </w:rPr>
            </w:pPr>
            <w:r w:rsidRPr="001247FB">
              <w:rPr>
                <w:rFonts w:cs="Arial"/>
                <w:sz w:val="18"/>
                <w:szCs w:val="18"/>
              </w:rPr>
              <w:t>Literatura</w:t>
            </w:r>
          </w:p>
        </w:tc>
        <w:tc>
          <w:tcPr>
            <w:tcW w:w="1701" w:type="dxa"/>
            <w:shd w:val="clear" w:color="auto" w:fill="FFFFFF" w:themeFill="background1"/>
            <w:vAlign w:val="center"/>
          </w:tcPr>
          <w:p w14:paraId="6C0B3D19" w14:textId="4EBD4EB4" w:rsidR="00160DFE" w:rsidRPr="001247FB" w:rsidRDefault="00160DFE" w:rsidP="00160DFE">
            <w:pPr>
              <w:pStyle w:val="Bullety"/>
              <w:numPr>
                <w:ilvl w:val="0"/>
                <w:numId w:val="0"/>
              </w:numPr>
              <w:jc w:val="center"/>
              <w:rPr>
                <w:rFonts w:cs="Arial"/>
                <w:sz w:val="18"/>
                <w:szCs w:val="18"/>
              </w:rPr>
            </w:pPr>
            <w:r w:rsidRPr="001247FB">
              <w:rPr>
                <w:rFonts w:cs="Arial"/>
                <w:sz w:val="18"/>
                <w:szCs w:val="18"/>
              </w:rPr>
              <w:t>Międzynarodowo porównywalny</w:t>
            </w:r>
          </w:p>
        </w:tc>
      </w:tr>
      <w:tr w:rsidR="00160DFE" w:rsidRPr="001247FB" w14:paraId="37E11CD2" w14:textId="77777777" w:rsidTr="00160DFE">
        <w:tc>
          <w:tcPr>
            <w:tcW w:w="1695" w:type="dxa"/>
            <w:vAlign w:val="center"/>
          </w:tcPr>
          <w:p w14:paraId="0E85DFBD" w14:textId="65092D76" w:rsidR="00160DFE" w:rsidRPr="001247FB" w:rsidRDefault="00160DFE" w:rsidP="00160DFE">
            <w:pPr>
              <w:pStyle w:val="Bullety"/>
              <w:numPr>
                <w:ilvl w:val="0"/>
                <w:numId w:val="0"/>
              </w:numPr>
              <w:jc w:val="center"/>
              <w:rPr>
                <w:rFonts w:cs="Arial"/>
                <w:sz w:val="18"/>
                <w:szCs w:val="18"/>
              </w:rPr>
            </w:pPr>
            <w:r w:rsidRPr="001247FB">
              <w:rPr>
                <w:rFonts w:cs="Arial"/>
                <w:sz w:val="18"/>
                <w:szCs w:val="18"/>
              </w:rPr>
              <w:t>Niewystarczający komfort cieplny</w:t>
            </w:r>
          </w:p>
        </w:tc>
        <w:tc>
          <w:tcPr>
            <w:tcW w:w="1319" w:type="dxa"/>
            <w:vAlign w:val="center"/>
          </w:tcPr>
          <w:p w14:paraId="2D9F3542" w14:textId="454752CC" w:rsidR="00160DFE" w:rsidRPr="001247FB" w:rsidRDefault="00160DFE" w:rsidP="00160DFE">
            <w:pPr>
              <w:pStyle w:val="Bullety"/>
              <w:numPr>
                <w:ilvl w:val="0"/>
                <w:numId w:val="0"/>
              </w:numPr>
              <w:jc w:val="center"/>
              <w:rPr>
                <w:rFonts w:cs="Arial"/>
                <w:sz w:val="18"/>
                <w:szCs w:val="18"/>
              </w:rPr>
            </w:pPr>
            <w:r w:rsidRPr="001247FB">
              <w:rPr>
                <w:rFonts w:cs="Arial"/>
                <w:sz w:val="18"/>
                <w:szCs w:val="18"/>
              </w:rPr>
              <w:t>Infrastruktura</w:t>
            </w:r>
          </w:p>
        </w:tc>
        <w:tc>
          <w:tcPr>
            <w:tcW w:w="1233" w:type="dxa"/>
            <w:vAlign w:val="center"/>
          </w:tcPr>
          <w:p w14:paraId="4FCAFA3F" w14:textId="2B078565" w:rsidR="00160DFE" w:rsidRPr="001247FB" w:rsidRDefault="00160DFE" w:rsidP="00160DFE">
            <w:pPr>
              <w:pStyle w:val="Bullety"/>
              <w:numPr>
                <w:ilvl w:val="0"/>
                <w:numId w:val="0"/>
              </w:numPr>
              <w:jc w:val="center"/>
              <w:rPr>
                <w:rFonts w:cs="Arial"/>
                <w:sz w:val="18"/>
                <w:szCs w:val="18"/>
              </w:rPr>
            </w:pPr>
            <w:r w:rsidRPr="001247FB">
              <w:rPr>
                <w:rFonts w:cs="Arial"/>
                <w:sz w:val="18"/>
                <w:szCs w:val="18"/>
              </w:rPr>
              <w:t>Pojedynczy wskaźnik</w:t>
            </w:r>
          </w:p>
        </w:tc>
        <w:tc>
          <w:tcPr>
            <w:tcW w:w="1276" w:type="dxa"/>
            <w:vAlign w:val="center"/>
          </w:tcPr>
          <w:p w14:paraId="38EF117D" w14:textId="16276AB9" w:rsidR="00160DFE" w:rsidRPr="001247FB" w:rsidRDefault="00160DFE" w:rsidP="00160DFE">
            <w:pPr>
              <w:pStyle w:val="Bullety"/>
              <w:numPr>
                <w:ilvl w:val="0"/>
                <w:numId w:val="0"/>
              </w:numPr>
              <w:jc w:val="center"/>
              <w:rPr>
                <w:rFonts w:cs="Arial"/>
                <w:sz w:val="18"/>
                <w:szCs w:val="18"/>
              </w:rPr>
            </w:pPr>
            <w:r w:rsidRPr="001247FB">
              <w:rPr>
                <w:rFonts w:cs="Arial"/>
                <w:sz w:val="18"/>
                <w:szCs w:val="18"/>
              </w:rPr>
              <w:t>Subiektywny</w:t>
            </w:r>
          </w:p>
        </w:tc>
        <w:tc>
          <w:tcPr>
            <w:tcW w:w="1559" w:type="dxa"/>
            <w:vAlign w:val="center"/>
          </w:tcPr>
          <w:p w14:paraId="467EB0A4" w14:textId="1554BC02" w:rsidR="00160DFE" w:rsidRPr="001247FB" w:rsidRDefault="00160DFE" w:rsidP="00160DFE">
            <w:pPr>
              <w:pStyle w:val="Bullety"/>
              <w:numPr>
                <w:ilvl w:val="0"/>
                <w:numId w:val="0"/>
              </w:numPr>
              <w:jc w:val="center"/>
              <w:rPr>
                <w:rFonts w:cs="Arial"/>
                <w:sz w:val="18"/>
                <w:szCs w:val="18"/>
              </w:rPr>
            </w:pPr>
            <w:r w:rsidRPr="001247FB">
              <w:rPr>
                <w:rFonts w:cs="Arial"/>
                <w:sz w:val="18"/>
                <w:szCs w:val="18"/>
              </w:rPr>
              <w:t>Literatura</w:t>
            </w:r>
          </w:p>
        </w:tc>
        <w:tc>
          <w:tcPr>
            <w:tcW w:w="1701" w:type="dxa"/>
            <w:vAlign w:val="center"/>
          </w:tcPr>
          <w:p w14:paraId="054B6151" w14:textId="0D3F90D1" w:rsidR="00160DFE" w:rsidRPr="001247FB" w:rsidRDefault="00160DFE" w:rsidP="00160DFE">
            <w:pPr>
              <w:pStyle w:val="Bullety"/>
              <w:numPr>
                <w:ilvl w:val="0"/>
                <w:numId w:val="0"/>
              </w:numPr>
              <w:jc w:val="center"/>
              <w:rPr>
                <w:rFonts w:cs="Arial"/>
                <w:sz w:val="18"/>
                <w:szCs w:val="18"/>
              </w:rPr>
            </w:pPr>
            <w:r w:rsidRPr="001247FB">
              <w:rPr>
                <w:rFonts w:cs="Arial"/>
                <w:sz w:val="18"/>
                <w:szCs w:val="18"/>
              </w:rPr>
              <w:t>Właściwy dla danego kraju</w:t>
            </w:r>
          </w:p>
        </w:tc>
      </w:tr>
    </w:tbl>
    <w:p w14:paraId="6BE01D57" w14:textId="77777777" w:rsidR="00FE7023" w:rsidRDefault="00FE7023" w:rsidP="00EB65FB">
      <w:pPr>
        <w:autoSpaceDE w:val="0"/>
        <w:autoSpaceDN w:val="0"/>
        <w:adjustRightInd w:val="0"/>
        <w:spacing w:after="0" w:line="276" w:lineRule="auto"/>
        <w:rPr>
          <w:rFonts w:cs="Arial"/>
          <w:sz w:val="20"/>
          <w:szCs w:val="20"/>
          <w:lang w:val="en-GB"/>
        </w:rPr>
      </w:pPr>
    </w:p>
    <w:p w14:paraId="0002E689" w14:textId="0C49EC5C" w:rsidR="00EB65FB" w:rsidRPr="001247FB" w:rsidRDefault="00ED506B" w:rsidP="00041026">
      <w:pPr>
        <w:autoSpaceDE w:val="0"/>
        <w:autoSpaceDN w:val="0"/>
        <w:adjustRightInd w:val="0"/>
        <w:spacing w:after="0" w:line="276" w:lineRule="auto"/>
        <w:jc w:val="both"/>
        <w:rPr>
          <w:rFonts w:cs="Arial"/>
          <w:sz w:val="20"/>
          <w:szCs w:val="20"/>
        </w:rPr>
      </w:pPr>
      <w:r>
        <w:rPr>
          <w:rFonts w:cs="Arial"/>
          <w:sz w:val="20"/>
          <w:szCs w:val="20"/>
        </w:rPr>
        <w:t xml:space="preserve">Dla zachowania spójności </w:t>
      </w:r>
      <w:r w:rsidR="00041026">
        <w:rPr>
          <w:rFonts w:cs="Arial"/>
          <w:sz w:val="20"/>
          <w:szCs w:val="20"/>
        </w:rPr>
        <w:t xml:space="preserve">pomiędzy dwiema wersjami językowymi raporty, przy </w:t>
      </w:r>
      <w:r w:rsidR="001247FB" w:rsidRPr="001247FB">
        <w:rPr>
          <w:rFonts w:cs="Arial"/>
          <w:sz w:val="20"/>
          <w:szCs w:val="20"/>
        </w:rPr>
        <w:t>opis</w:t>
      </w:r>
      <w:r>
        <w:rPr>
          <w:rFonts w:cs="Arial"/>
          <w:sz w:val="20"/>
          <w:szCs w:val="20"/>
        </w:rPr>
        <w:t>ywaniu</w:t>
      </w:r>
      <w:r w:rsidR="001247FB" w:rsidRPr="001247FB">
        <w:rPr>
          <w:rFonts w:cs="Arial"/>
          <w:sz w:val="20"/>
          <w:szCs w:val="20"/>
        </w:rPr>
        <w:t xml:space="preserve"> wskaźników</w:t>
      </w:r>
      <w:r w:rsidR="00041026">
        <w:rPr>
          <w:rFonts w:cs="Arial"/>
          <w:sz w:val="20"/>
          <w:szCs w:val="20"/>
        </w:rPr>
        <w:t>,</w:t>
      </w:r>
      <w:r w:rsidR="001247FB" w:rsidRPr="001247FB">
        <w:rPr>
          <w:rFonts w:cs="Arial"/>
          <w:sz w:val="20"/>
          <w:szCs w:val="20"/>
        </w:rPr>
        <w:t xml:space="preserve"> wykorzystujemy skróty </w:t>
      </w:r>
      <w:r w:rsidR="00041026">
        <w:rPr>
          <w:rFonts w:cs="Arial"/>
          <w:sz w:val="20"/>
          <w:szCs w:val="20"/>
        </w:rPr>
        <w:t>odpowiadające</w:t>
      </w:r>
      <w:r w:rsidR="001247FB" w:rsidRPr="001247FB">
        <w:rPr>
          <w:rFonts w:cs="Arial"/>
          <w:sz w:val="20"/>
          <w:szCs w:val="20"/>
        </w:rPr>
        <w:t xml:space="preserve"> z ich angielskimi nazw</w:t>
      </w:r>
      <w:r w:rsidR="00041026">
        <w:rPr>
          <w:rFonts w:cs="Arial"/>
          <w:sz w:val="20"/>
          <w:szCs w:val="20"/>
        </w:rPr>
        <w:t>om</w:t>
      </w:r>
      <w:r w:rsidR="001247FB" w:rsidRPr="001247FB">
        <w:rPr>
          <w:rFonts w:cs="Arial"/>
          <w:sz w:val="20"/>
          <w:szCs w:val="20"/>
        </w:rPr>
        <w:t>.</w:t>
      </w:r>
    </w:p>
    <w:p w14:paraId="0A52BEE9" w14:textId="2DD8F41C" w:rsidR="00EB65FB" w:rsidRPr="00961B46" w:rsidRDefault="001247FB" w:rsidP="00EB65FB">
      <w:pPr>
        <w:pStyle w:val="Bullety"/>
        <w:numPr>
          <w:ilvl w:val="0"/>
          <w:numId w:val="0"/>
        </w:numPr>
        <w:rPr>
          <w:b/>
        </w:rPr>
      </w:pPr>
      <w:r w:rsidRPr="001247FB">
        <w:rPr>
          <w:b/>
        </w:rPr>
        <w:t>Tabela</w:t>
      </w:r>
      <w:r w:rsidR="00EB65FB" w:rsidRPr="001247FB">
        <w:rPr>
          <w:b/>
        </w:rPr>
        <w:t xml:space="preserve"> </w:t>
      </w:r>
      <w:r w:rsidR="00041026">
        <w:rPr>
          <w:b/>
        </w:rPr>
        <w:t>3</w:t>
      </w:r>
      <w:r w:rsidR="00EB65FB" w:rsidRPr="001247FB">
        <w:rPr>
          <w:b/>
        </w:rPr>
        <w:t xml:space="preserve"> </w:t>
      </w:r>
      <w:r w:rsidRPr="001247FB">
        <w:rPr>
          <w:b/>
        </w:rPr>
        <w:t>Skróty wykorzystywane do opisania wskaźników</w:t>
      </w:r>
    </w:p>
    <w:tbl>
      <w:tblPr>
        <w:tblStyle w:val="Tabela-Siatka"/>
        <w:tblW w:w="9039" w:type="dxa"/>
        <w:tblBorders>
          <w:insideH w:val="dotted" w:sz="4" w:space="0" w:color="auto"/>
          <w:insideV w:val="dotted" w:sz="4" w:space="0" w:color="auto"/>
        </w:tblBorders>
        <w:tblLook w:val="04A0" w:firstRow="1" w:lastRow="0" w:firstColumn="1" w:lastColumn="0" w:noHBand="0" w:noVBand="1"/>
      </w:tblPr>
      <w:tblGrid>
        <w:gridCol w:w="7479"/>
        <w:gridCol w:w="1560"/>
      </w:tblGrid>
      <w:tr w:rsidR="00EB65FB" w:rsidRPr="000F7CA7" w14:paraId="44E0D9F6" w14:textId="77777777" w:rsidTr="00A30F4F">
        <w:tc>
          <w:tcPr>
            <w:tcW w:w="7479" w:type="dxa"/>
            <w:tcBorders>
              <w:top w:val="single" w:sz="4" w:space="0" w:color="000000"/>
              <w:bottom w:val="single" w:sz="4" w:space="0" w:color="000000"/>
            </w:tcBorders>
            <w:shd w:val="clear" w:color="auto" w:fill="FFFF00"/>
          </w:tcPr>
          <w:p w14:paraId="23729969" w14:textId="6BE3C3DE" w:rsidR="00EB65FB" w:rsidRPr="001247FB" w:rsidRDefault="001247FB" w:rsidP="00A30F4F">
            <w:pPr>
              <w:autoSpaceDE w:val="0"/>
              <w:autoSpaceDN w:val="0"/>
              <w:adjustRightInd w:val="0"/>
              <w:spacing w:after="0" w:line="276" w:lineRule="auto"/>
              <w:jc w:val="center"/>
              <w:rPr>
                <w:rFonts w:cs="Arial"/>
                <w:b/>
                <w:sz w:val="20"/>
                <w:szCs w:val="20"/>
                <w:lang w:val="pl-PL"/>
              </w:rPr>
            </w:pPr>
            <w:r w:rsidRPr="001247FB">
              <w:rPr>
                <w:rFonts w:cs="Arial"/>
                <w:b/>
                <w:sz w:val="20"/>
                <w:szCs w:val="20"/>
                <w:lang w:val="pl-PL"/>
              </w:rPr>
              <w:t>Wskaźnik</w:t>
            </w:r>
          </w:p>
        </w:tc>
        <w:tc>
          <w:tcPr>
            <w:tcW w:w="1560" w:type="dxa"/>
            <w:tcBorders>
              <w:top w:val="single" w:sz="4" w:space="0" w:color="000000"/>
              <w:bottom w:val="single" w:sz="4" w:space="0" w:color="000000"/>
            </w:tcBorders>
            <w:shd w:val="clear" w:color="auto" w:fill="FFFF00"/>
          </w:tcPr>
          <w:p w14:paraId="7E740B42" w14:textId="5DDF2951" w:rsidR="00EB65FB" w:rsidRPr="001247FB" w:rsidRDefault="001247FB" w:rsidP="00A30F4F">
            <w:pPr>
              <w:autoSpaceDE w:val="0"/>
              <w:autoSpaceDN w:val="0"/>
              <w:adjustRightInd w:val="0"/>
              <w:spacing w:after="0" w:line="276" w:lineRule="auto"/>
              <w:jc w:val="center"/>
              <w:rPr>
                <w:rFonts w:cs="Arial"/>
                <w:b/>
                <w:sz w:val="20"/>
                <w:szCs w:val="20"/>
                <w:lang w:val="pl-PL"/>
              </w:rPr>
            </w:pPr>
            <w:r w:rsidRPr="001247FB">
              <w:rPr>
                <w:rFonts w:cs="Arial"/>
                <w:b/>
                <w:sz w:val="20"/>
                <w:szCs w:val="20"/>
                <w:lang w:val="pl-PL"/>
              </w:rPr>
              <w:t>Skrót</w:t>
            </w:r>
          </w:p>
        </w:tc>
      </w:tr>
      <w:tr w:rsidR="00EB65FB" w14:paraId="314D1290" w14:textId="77777777" w:rsidTr="00A30F4F">
        <w:tc>
          <w:tcPr>
            <w:tcW w:w="7479" w:type="dxa"/>
            <w:tcBorders>
              <w:top w:val="single" w:sz="4" w:space="0" w:color="000000"/>
            </w:tcBorders>
          </w:tcPr>
          <w:p w14:paraId="01169D4B" w14:textId="04435291" w:rsidR="00EB65FB" w:rsidRPr="001247FB" w:rsidRDefault="00AC6A1A" w:rsidP="00A30F4F">
            <w:pPr>
              <w:autoSpaceDE w:val="0"/>
              <w:autoSpaceDN w:val="0"/>
              <w:adjustRightInd w:val="0"/>
              <w:spacing w:after="0" w:line="276" w:lineRule="auto"/>
              <w:jc w:val="center"/>
              <w:rPr>
                <w:rFonts w:cs="Arial"/>
                <w:b/>
                <w:sz w:val="20"/>
                <w:szCs w:val="20"/>
                <w:u w:val="single"/>
                <w:lang w:val="pl-PL"/>
              </w:rPr>
            </w:pPr>
            <w:r w:rsidRPr="001247FB">
              <w:rPr>
                <w:rFonts w:cs="Arial"/>
                <w:sz w:val="20"/>
                <w:szCs w:val="20"/>
                <w:lang w:val="pl-PL"/>
              </w:rPr>
              <w:t>Wysokie Koszty, Niskie Dochody</w:t>
            </w:r>
          </w:p>
        </w:tc>
        <w:tc>
          <w:tcPr>
            <w:tcW w:w="1560" w:type="dxa"/>
            <w:tcBorders>
              <w:top w:val="single" w:sz="4" w:space="0" w:color="000000"/>
            </w:tcBorders>
          </w:tcPr>
          <w:p w14:paraId="5B9D0170" w14:textId="77777777" w:rsidR="00EB65FB" w:rsidRPr="00724421" w:rsidRDefault="00EB65FB" w:rsidP="00A30F4F">
            <w:pPr>
              <w:autoSpaceDE w:val="0"/>
              <w:autoSpaceDN w:val="0"/>
              <w:adjustRightInd w:val="0"/>
              <w:spacing w:after="0" w:line="276" w:lineRule="auto"/>
              <w:jc w:val="center"/>
              <w:rPr>
                <w:rFonts w:cs="Arial"/>
                <w:sz w:val="20"/>
                <w:szCs w:val="20"/>
                <w:lang w:val="en-GB"/>
              </w:rPr>
            </w:pPr>
            <w:r w:rsidRPr="00724421">
              <w:rPr>
                <w:rFonts w:cs="Arial"/>
                <w:sz w:val="20"/>
                <w:szCs w:val="20"/>
                <w:lang w:val="en-GB"/>
              </w:rPr>
              <w:t>LIHC</w:t>
            </w:r>
          </w:p>
        </w:tc>
      </w:tr>
      <w:tr w:rsidR="00EB65FB" w14:paraId="7C61B08D" w14:textId="77777777" w:rsidTr="00A30F4F">
        <w:tc>
          <w:tcPr>
            <w:tcW w:w="7479" w:type="dxa"/>
            <w:vMerge w:val="restart"/>
            <w:vAlign w:val="center"/>
          </w:tcPr>
          <w:p w14:paraId="79792ADD" w14:textId="431722EE" w:rsidR="00EB65FB" w:rsidRPr="001247FB" w:rsidRDefault="001247FB" w:rsidP="00A30F4F">
            <w:pPr>
              <w:autoSpaceDE w:val="0"/>
              <w:autoSpaceDN w:val="0"/>
              <w:adjustRightInd w:val="0"/>
              <w:spacing w:after="0" w:line="276" w:lineRule="auto"/>
              <w:jc w:val="center"/>
              <w:rPr>
                <w:rFonts w:cs="Arial"/>
                <w:sz w:val="20"/>
                <w:szCs w:val="20"/>
                <w:lang w:val="pl-PL"/>
              </w:rPr>
            </w:pPr>
            <w:r w:rsidRPr="001247FB">
              <w:rPr>
                <w:rFonts w:cs="Arial"/>
                <w:sz w:val="20"/>
                <w:szCs w:val="20"/>
                <w:lang w:val="pl-PL"/>
              </w:rPr>
              <w:t>Udział wymaganych wydatków na energię względem dochodu</w:t>
            </w:r>
          </w:p>
        </w:tc>
        <w:tc>
          <w:tcPr>
            <w:tcW w:w="1560" w:type="dxa"/>
          </w:tcPr>
          <w:p w14:paraId="386E5939" w14:textId="4ABF110D" w:rsidR="00EB65FB" w:rsidRDefault="00EB65FB" w:rsidP="00A30F4F">
            <w:pPr>
              <w:autoSpaceDE w:val="0"/>
              <w:autoSpaceDN w:val="0"/>
              <w:adjustRightInd w:val="0"/>
              <w:spacing w:after="0" w:line="276" w:lineRule="auto"/>
              <w:jc w:val="center"/>
              <w:rPr>
                <w:rFonts w:cs="Arial"/>
                <w:sz w:val="20"/>
                <w:szCs w:val="20"/>
                <w:lang w:val="en-GB"/>
              </w:rPr>
            </w:pPr>
            <w:r>
              <w:rPr>
                <w:rFonts w:cs="Arial"/>
                <w:sz w:val="20"/>
                <w:szCs w:val="20"/>
                <w:lang w:val="en-GB"/>
              </w:rPr>
              <w:t>10%</w:t>
            </w:r>
          </w:p>
        </w:tc>
      </w:tr>
      <w:tr w:rsidR="00EB65FB" w14:paraId="12618E04" w14:textId="77777777" w:rsidTr="00A30F4F">
        <w:tc>
          <w:tcPr>
            <w:tcW w:w="7479" w:type="dxa"/>
            <w:vMerge/>
            <w:vAlign w:val="center"/>
          </w:tcPr>
          <w:p w14:paraId="74CDDA54" w14:textId="70B7E111" w:rsidR="00EB65FB" w:rsidRPr="001247FB" w:rsidRDefault="00EB65FB" w:rsidP="00A30F4F">
            <w:pPr>
              <w:autoSpaceDE w:val="0"/>
              <w:autoSpaceDN w:val="0"/>
              <w:adjustRightInd w:val="0"/>
              <w:spacing w:after="0" w:line="276" w:lineRule="auto"/>
              <w:jc w:val="center"/>
              <w:rPr>
                <w:rFonts w:cs="Arial"/>
                <w:b/>
                <w:sz w:val="20"/>
                <w:szCs w:val="20"/>
                <w:u w:val="single"/>
                <w:lang w:val="pl-PL"/>
              </w:rPr>
            </w:pPr>
          </w:p>
        </w:tc>
        <w:tc>
          <w:tcPr>
            <w:tcW w:w="1560" w:type="dxa"/>
          </w:tcPr>
          <w:p w14:paraId="183DB550" w14:textId="77777777" w:rsidR="00EB65FB" w:rsidRPr="00724421" w:rsidRDefault="00EB65FB" w:rsidP="00A30F4F">
            <w:pPr>
              <w:autoSpaceDE w:val="0"/>
              <w:autoSpaceDN w:val="0"/>
              <w:adjustRightInd w:val="0"/>
              <w:spacing w:after="0" w:line="276" w:lineRule="auto"/>
              <w:jc w:val="center"/>
              <w:rPr>
                <w:rFonts w:cs="Arial"/>
                <w:sz w:val="20"/>
                <w:szCs w:val="20"/>
                <w:lang w:val="en-GB"/>
              </w:rPr>
            </w:pPr>
            <w:r>
              <w:rPr>
                <w:rFonts w:cs="Arial"/>
                <w:sz w:val="20"/>
                <w:szCs w:val="20"/>
                <w:lang w:val="en-GB"/>
              </w:rPr>
              <w:t>22</w:t>
            </w:r>
            <w:r w:rsidRPr="00724421">
              <w:rPr>
                <w:rFonts w:cs="Arial"/>
                <w:sz w:val="20"/>
                <w:szCs w:val="20"/>
                <w:lang w:val="en-GB"/>
              </w:rPr>
              <w:t>%</w:t>
            </w:r>
          </w:p>
        </w:tc>
      </w:tr>
      <w:tr w:rsidR="00EB65FB" w14:paraId="44CD5059" w14:textId="77777777" w:rsidTr="00A30F4F">
        <w:tc>
          <w:tcPr>
            <w:tcW w:w="7479" w:type="dxa"/>
            <w:vAlign w:val="center"/>
          </w:tcPr>
          <w:p w14:paraId="4391DBA9" w14:textId="4E89C340" w:rsidR="00EB65FB" w:rsidRPr="001247FB" w:rsidRDefault="001247FB" w:rsidP="00A30F4F">
            <w:pPr>
              <w:autoSpaceDE w:val="0"/>
              <w:autoSpaceDN w:val="0"/>
              <w:adjustRightInd w:val="0"/>
              <w:spacing w:after="0" w:line="276" w:lineRule="auto"/>
              <w:jc w:val="center"/>
              <w:rPr>
                <w:rFonts w:cs="Arial"/>
                <w:b/>
                <w:sz w:val="20"/>
                <w:szCs w:val="20"/>
                <w:u w:val="single"/>
                <w:lang w:val="pl-PL"/>
              </w:rPr>
            </w:pPr>
            <w:r w:rsidRPr="001247FB">
              <w:rPr>
                <w:rFonts w:cs="Arial"/>
                <w:sz w:val="20"/>
                <w:szCs w:val="20"/>
                <w:lang w:val="pl-PL"/>
              </w:rPr>
              <w:t>Podwójna mediana wydatków na energię</w:t>
            </w:r>
          </w:p>
        </w:tc>
        <w:tc>
          <w:tcPr>
            <w:tcW w:w="1560" w:type="dxa"/>
          </w:tcPr>
          <w:p w14:paraId="4DA4C2AD" w14:textId="77777777" w:rsidR="00EB65FB" w:rsidRPr="00724421" w:rsidRDefault="00EB65FB" w:rsidP="00A30F4F">
            <w:pPr>
              <w:autoSpaceDE w:val="0"/>
              <w:autoSpaceDN w:val="0"/>
              <w:adjustRightInd w:val="0"/>
              <w:spacing w:after="0" w:line="276" w:lineRule="auto"/>
              <w:jc w:val="center"/>
              <w:rPr>
                <w:rFonts w:cs="Arial"/>
                <w:sz w:val="20"/>
                <w:szCs w:val="20"/>
                <w:lang w:val="en-GB"/>
              </w:rPr>
            </w:pPr>
            <w:r w:rsidRPr="00724421">
              <w:rPr>
                <w:rFonts w:cs="Arial"/>
                <w:sz w:val="20"/>
                <w:szCs w:val="20"/>
                <w:lang w:val="en-GB"/>
              </w:rPr>
              <w:t>2M</w:t>
            </w:r>
          </w:p>
        </w:tc>
      </w:tr>
      <w:tr w:rsidR="00EB65FB" w14:paraId="4B16796A" w14:textId="77777777" w:rsidTr="00A30F4F">
        <w:tc>
          <w:tcPr>
            <w:tcW w:w="7479" w:type="dxa"/>
            <w:vAlign w:val="center"/>
          </w:tcPr>
          <w:p w14:paraId="13903695" w14:textId="1F9AEB80" w:rsidR="00EB65FB" w:rsidRPr="001247FB" w:rsidRDefault="001247FB" w:rsidP="00A30F4F">
            <w:pPr>
              <w:autoSpaceDE w:val="0"/>
              <w:autoSpaceDN w:val="0"/>
              <w:adjustRightInd w:val="0"/>
              <w:spacing w:after="0" w:line="276" w:lineRule="auto"/>
              <w:jc w:val="center"/>
              <w:rPr>
                <w:rFonts w:cs="Arial"/>
                <w:b/>
                <w:sz w:val="20"/>
                <w:szCs w:val="20"/>
                <w:u w:val="single"/>
                <w:lang w:val="pl-PL"/>
              </w:rPr>
            </w:pPr>
            <w:r w:rsidRPr="001247FB">
              <w:rPr>
                <w:rFonts w:cs="Arial"/>
                <w:sz w:val="20"/>
                <w:szCs w:val="20"/>
                <w:lang w:val="pl-PL"/>
              </w:rPr>
              <w:t>Ukryte ubóstwo energetyczne</w:t>
            </w:r>
          </w:p>
        </w:tc>
        <w:tc>
          <w:tcPr>
            <w:tcW w:w="1560" w:type="dxa"/>
          </w:tcPr>
          <w:p w14:paraId="1E8ABA36" w14:textId="77777777" w:rsidR="00EB65FB" w:rsidRPr="00724421" w:rsidRDefault="00EB65FB" w:rsidP="00A30F4F">
            <w:pPr>
              <w:autoSpaceDE w:val="0"/>
              <w:autoSpaceDN w:val="0"/>
              <w:adjustRightInd w:val="0"/>
              <w:spacing w:after="0" w:line="276" w:lineRule="auto"/>
              <w:jc w:val="center"/>
              <w:rPr>
                <w:rFonts w:cs="Arial"/>
                <w:sz w:val="20"/>
                <w:szCs w:val="20"/>
                <w:lang w:val="en-GB"/>
              </w:rPr>
            </w:pPr>
            <w:r w:rsidRPr="00724421">
              <w:rPr>
                <w:rFonts w:cs="Arial"/>
                <w:sz w:val="20"/>
                <w:szCs w:val="20"/>
                <w:lang w:val="en-GB"/>
              </w:rPr>
              <w:t>HEP</w:t>
            </w:r>
          </w:p>
        </w:tc>
      </w:tr>
      <w:tr w:rsidR="00EB65FB" w14:paraId="7FCE39B6" w14:textId="77777777" w:rsidTr="00A30F4F">
        <w:tc>
          <w:tcPr>
            <w:tcW w:w="7479" w:type="dxa"/>
            <w:vAlign w:val="center"/>
          </w:tcPr>
          <w:p w14:paraId="383CC282" w14:textId="42AD404D" w:rsidR="00EB65FB" w:rsidRPr="001247FB" w:rsidRDefault="001247FB" w:rsidP="00A30F4F">
            <w:pPr>
              <w:autoSpaceDE w:val="0"/>
              <w:autoSpaceDN w:val="0"/>
              <w:adjustRightInd w:val="0"/>
              <w:spacing w:after="0" w:line="276" w:lineRule="auto"/>
              <w:jc w:val="center"/>
              <w:rPr>
                <w:rFonts w:cs="Arial"/>
                <w:b/>
                <w:sz w:val="20"/>
                <w:szCs w:val="20"/>
                <w:u w:val="single"/>
                <w:lang w:val="pl-PL"/>
              </w:rPr>
            </w:pPr>
            <w:r w:rsidRPr="001247FB">
              <w:rPr>
                <w:rFonts w:cs="Arial"/>
                <w:sz w:val="20"/>
                <w:szCs w:val="20"/>
                <w:lang w:val="pl-PL"/>
              </w:rPr>
              <w:t>Zdolność do terminowego opłacania rachunków</w:t>
            </w:r>
          </w:p>
        </w:tc>
        <w:tc>
          <w:tcPr>
            <w:tcW w:w="1560" w:type="dxa"/>
          </w:tcPr>
          <w:p w14:paraId="0DFEB764" w14:textId="77777777" w:rsidR="00EB65FB" w:rsidRPr="00724421" w:rsidRDefault="00EB65FB" w:rsidP="00A30F4F">
            <w:pPr>
              <w:autoSpaceDE w:val="0"/>
              <w:autoSpaceDN w:val="0"/>
              <w:adjustRightInd w:val="0"/>
              <w:spacing w:after="0" w:line="276" w:lineRule="auto"/>
              <w:jc w:val="center"/>
              <w:rPr>
                <w:rFonts w:cs="Arial"/>
                <w:sz w:val="20"/>
                <w:szCs w:val="20"/>
                <w:lang w:val="en-GB"/>
              </w:rPr>
            </w:pPr>
            <w:r>
              <w:rPr>
                <w:rFonts w:cs="Arial"/>
                <w:sz w:val="20"/>
                <w:szCs w:val="20"/>
                <w:lang w:val="en-GB"/>
              </w:rPr>
              <w:t>BILLS</w:t>
            </w:r>
          </w:p>
        </w:tc>
      </w:tr>
      <w:tr w:rsidR="00EB65FB" w14:paraId="66C439D8" w14:textId="77777777" w:rsidTr="00A30F4F">
        <w:tc>
          <w:tcPr>
            <w:tcW w:w="7479" w:type="dxa"/>
            <w:vAlign w:val="center"/>
          </w:tcPr>
          <w:p w14:paraId="2588F8C6" w14:textId="19C657EB" w:rsidR="00EB65FB" w:rsidRPr="001247FB" w:rsidRDefault="001247FB" w:rsidP="00A30F4F">
            <w:pPr>
              <w:autoSpaceDE w:val="0"/>
              <w:autoSpaceDN w:val="0"/>
              <w:adjustRightInd w:val="0"/>
              <w:spacing w:after="0" w:line="276" w:lineRule="auto"/>
              <w:jc w:val="center"/>
              <w:rPr>
                <w:rFonts w:cs="Arial"/>
                <w:b/>
                <w:sz w:val="20"/>
                <w:szCs w:val="20"/>
                <w:u w:val="single"/>
                <w:lang w:val="pl-PL"/>
              </w:rPr>
            </w:pPr>
            <w:r w:rsidRPr="001247FB">
              <w:rPr>
                <w:rFonts w:cs="Arial"/>
                <w:sz w:val="20"/>
                <w:szCs w:val="20"/>
                <w:lang w:val="pl-PL"/>
              </w:rPr>
              <w:t>Budynek z przeciekającym dachem, zawilgoconymi ścianami, podłogami, fundamentami, butwiejącymi oknami lub podłogami</w:t>
            </w:r>
          </w:p>
        </w:tc>
        <w:tc>
          <w:tcPr>
            <w:tcW w:w="1560" w:type="dxa"/>
          </w:tcPr>
          <w:p w14:paraId="12BC8EF0" w14:textId="77777777" w:rsidR="00EB65FB" w:rsidRPr="00724421" w:rsidRDefault="00EB65FB" w:rsidP="00A30F4F">
            <w:pPr>
              <w:autoSpaceDE w:val="0"/>
              <w:autoSpaceDN w:val="0"/>
              <w:adjustRightInd w:val="0"/>
              <w:spacing w:after="0" w:line="276" w:lineRule="auto"/>
              <w:jc w:val="center"/>
              <w:rPr>
                <w:rFonts w:cs="Arial"/>
                <w:sz w:val="20"/>
                <w:szCs w:val="20"/>
                <w:lang w:val="en-GB"/>
              </w:rPr>
            </w:pPr>
            <w:r w:rsidRPr="00724421">
              <w:rPr>
                <w:rFonts w:cs="Arial"/>
                <w:sz w:val="20"/>
                <w:szCs w:val="20"/>
                <w:lang w:val="en-GB"/>
              </w:rPr>
              <w:t>LEAK</w:t>
            </w:r>
          </w:p>
        </w:tc>
      </w:tr>
      <w:tr w:rsidR="00EB65FB" w14:paraId="4284CC78" w14:textId="77777777" w:rsidTr="001247FB">
        <w:trPr>
          <w:trHeight w:val="242"/>
        </w:trPr>
        <w:tc>
          <w:tcPr>
            <w:tcW w:w="7479" w:type="dxa"/>
            <w:vAlign w:val="center"/>
          </w:tcPr>
          <w:p w14:paraId="10EBF734" w14:textId="1916ACC1" w:rsidR="00EB65FB" w:rsidRPr="001247FB" w:rsidRDefault="001247FB" w:rsidP="00A30F4F">
            <w:pPr>
              <w:autoSpaceDE w:val="0"/>
              <w:autoSpaceDN w:val="0"/>
              <w:adjustRightInd w:val="0"/>
              <w:spacing w:after="0" w:line="276" w:lineRule="auto"/>
              <w:jc w:val="center"/>
              <w:rPr>
                <w:rFonts w:cs="Arial"/>
                <w:b/>
                <w:sz w:val="20"/>
                <w:szCs w:val="20"/>
                <w:u w:val="single"/>
                <w:lang w:val="pl-PL"/>
              </w:rPr>
            </w:pPr>
            <w:r w:rsidRPr="001247FB">
              <w:rPr>
                <w:rFonts w:cs="Arial"/>
                <w:sz w:val="20"/>
                <w:szCs w:val="20"/>
                <w:lang w:val="pl-PL"/>
              </w:rPr>
              <w:t>Niewystarczający komfort cieplny</w:t>
            </w:r>
          </w:p>
        </w:tc>
        <w:tc>
          <w:tcPr>
            <w:tcW w:w="1560" w:type="dxa"/>
          </w:tcPr>
          <w:p w14:paraId="4777304D" w14:textId="77777777" w:rsidR="00EB65FB" w:rsidRPr="00724421" w:rsidRDefault="00EB65FB" w:rsidP="00A30F4F">
            <w:pPr>
              <w:autoSpaceDE w:val="0"/>
              <w:autoSpaceDN w:val="0"/>
              <w:adjustRightInd w:val="0"/>
              <w:spacing w:after="0" w:line="276" w:lineRule="auto"/>
              <w:jc w:val="center"/>
              <w:rPr>
                <w:rFonts w:cs="Arial"/>
                <w:sz w:val="20"/>
                <w:szCs w:val="20"/>
                <w:lang w:val="en-GB"/>
              </w:rPr>
            </w:pPr>
            <w:r w:rsidRPr="00724421">
              <w:rPr>
                <w:rFonts w:cs="Arial"/>
                <w:sz w:val="20"/>
                <w:szCs w:val="20"/>
                <w:lang w:val="en-GB"/>
              </w:rPr>
              <w:t>COMFORT</w:t>
            </w:r>
          </w:p>
        </w:tc>
      </w:tr>
    </w:tbl>
    <w:p w14:paraId="0FD27CDB" w14:textId="77777777" w:rsidR="00FE7023" w:rsidRDefault="00FE7023" w:rsidP="00EB65FB">
      <w:pPr>
        <w:pStyle w:val="Bullety"/>
        <w:numPr>
          <w:ilvl w:val="0"/>
          <w:numId w:val="0"/>
        </w:numPr>
        <w:rPr>
          <w:lang w:val="en-GB"/>
        </w:rPr>
      </w:pPr>
    </w:p>
    <w:p w14:paraId="37B4FB67" w14:textId="3B5E239A" w:rsidR="00EF0BE0" w:rsidRPr="00EF0BE0" w:rsidRDefault="00041026" w:rsidP="00EB65FB">
      <w:pPr>
        <w:pStyle w:val="Bullety"/>
        <w:numPr>
          <w:ilvl w:val="0"/>
          <w:numId w:val="0"/>
        </w:numPr>
      </w:pPr>
      <w:r>
        <w:t>Grupa</w:t>
      </w:r>
      <w:r w:rsidR="00EF0BE0">
        <w:t xml:space="preserve"> w</w:t>
      </w:r>
      <w:r w:rsidR="00EF0BE0" w:rsidRPr="00EF0BE0">
        <w:t>skaźnik</w:t>
      </w:r>
      <w:r>
        <w:t>ów</w:t>
      </w:r>
      <w:r w:rsidR="00EF0BE0" w:rsidRPr="00EF0BE0">
        <w:t xml:space="preserve"> o najwyższej jakości </w:t>
      </w:r>
      <w:r>
        <w:t xml:space="preserve">została określona na podstawie </w:t>
      </w:r>
      <w:r w:rsidR="00EF0BE0">
        <w:t>Produkt</w:t>
      </w:r>
      <w:r>
        <w:t>ów</w:t>
      </w:r>
      <w:r w:rsidR="00EF0BE0" w:rsidRPr="00EF0BE0">
        <w:t xml:space="preserve"> 2a i 2b</w:t>
      </w:r>
      <w:r>
        <w:t>. Zawiera</w:t>
      </w:r>
      <w:r w:rsidR="00EF0BE0" w:rsidRPr="00EF0BE0">
        <w:t xml:space="preserve"> wszystki</w:t>
      </w:r>
      <w:r>
        <w:t>e</w:t>
      </w:r>
      <w:r w:rsidR="00EF0BE0">
        <w:t xml:space="preserve"> </w:t>
      </w:r>
      <w:r>
        <w:t>miary</w:t>
      </w:r>
      <w:r w:rsidR="00EF0BE0">
        <w:t xml:space="preserve"> niezbędn</w:t>
      </w:r>
      <w:r>
        <w:t>e</w:t>
      </w:r>
      <w:r w:rsidR="00EF0BE0" w:rsidRPr="00EF0BE0">
        <w:t xml:space="preserve"> do </w:t>
      </w:r>
      <w:r w:rsidR="00EF0BE0">
        <w:t xml:space="preserve">szczegółowego </w:t>
      </w:r>
      <w:r w:rsidR="00EF0BE0" w:rsidRPr="00EF0BE0">
        <w:t>opisu ubóstwa energetycznego w Polsce. Dodatkowo</w:t>
      </w:r>
      <w:r w:rsidR="00EF0BE0">
        <w:t>,</w:t>
      </w:r>
      <w:r w:rsidR="00EF0BE0" w:rsidRPr="00EF0BE0">
        <w:t xml:space="preserve"> </w:t>
      </w:r>
      <w:r w:rsidR="00EF0BE0">
        <w:t>opracowaliśmy</w:t>
      </w:r>
      <w:r w:rsidR="00EF0BE0" w:rsidRPr="00EF0BE0">
        <w:t xml:space="preserve"> dwie wersje</w:t>
      </w:r>
      <w:r w:rsidR="00EF0BE0">
        <w:t xml:space="preserve"> wskaźnika</w:t>
      </w:r>
      <w:r w:rsidR="00EF0BE0" w:rsidRPr="00EF0BE0">
        <w:t xml:space="preserve"> </w:t>
      </w:r>
      <w:r w:rsidR="00EF0BE0" w:rsidRPr="00EF0BE0">
        <w:rPr>
          <w:rFonts w:cs="Arial"/>
          <w:b/>
        </w:rPr>
        <w:t>Udział wymaganych wydatków na energię względem dochodu</w:t>
      </w:r>
      <w:r w:rsidR="00EF0BE0" w:rsidRPr="00EF0BE0">
        <w:t>:</w:t>
      </w:r>
    </w:p>
    <w:p w14:paraId="18304812" w14:textId="0B789720" w:rsidR="00EF0BE0" w:rsidRPr="00EF0BE0" w:rsidRDefault="00EF0BE0" w:rsidP="00F44B3D">
      <w:pPr>
        <w:pStyle w:val="Bullety"/>
      </w:pPr>
      <w:r w:rsidRPr="00EF0BE0">
        <w:t xml:space="preserve">Próg 10%, oparty na brytyjskiej metodologii identyfikacji gospodarstw ubogich energetycznie, </w:t>
      </w:r>
      <w:r>
        <w:t>wykorzystujący</w:t>
      </w:r>
      <w:r w:rsidRPr="00EF0BE0">
        <w:t xml:space="preserve"> dwukrotnoś</w:t>
      </w:r>
      <w:r>
        <w:t>ć mediany</w:t>
      </w:r>
      <w:r w:rsidRPr="00EF0BE0">
        <w:t xml:space="preserve"> wydatków na energię;</w:t>
      </w:r>
    </w:p>
    <w:p w14:paraId="51BFE1A2" w14:textId="258890DB" w:rsidR="00EF0BE0" w:rsidRPr="00EF0BE0" w:rsidRDefault="00EF0BE0" w:rsidP="00EB65FB">
      <w:pPr>
        <w:pStyle w:val="Bullety"/>
      </w:pPr>
      <w:r w:rsidRPr="00EF0BE0">
        <w:t>Skorygowany próg 22%, oparty na zmodyfikowanej metodologii wskaźnika zastosowanego w Wielkiej Brytanii. 22% to średnia dwukrotności medianowych wydatków na energię w latach 2012-2016</w:t>
      </w:r>
      <w:r w:rsidR="00041026">
        <w:t xml:space="preserve"> w Polsce</w:t>
      </w:r>
      <w:r w:rsidRPr="00EF0BE0">
        <w:t>.</w:t>
      </w:r>
    </w:p>
    <w:p w14:paraId="24DBA674" w14:textId="0329E719" w:rsidR="00EF0BE0" w:rsidRPr="00EF0BE0" w:rsidRDefault="00EF0BE0" w:rsidP="00C24B8F">
      <w:pPr>
        <w:pStyle w:val="Bullety"/>
      </w:pPr>
      <w:r w:rsidRPr="00EF0BE0">
        <w:t>Różnica między</w:t>
      </w:r>
      <w:r>
        <w:t xml:space="preserve"> wskaźnikiem</w:t>
      </w:r>
      <w:r w:rsidRPr="00EF0BE0">
        <w:t xml:space="preserve"> </w:t>
      </w:r>
      <w:r>
        <w:t>„</w:t>
      </w:r>
      <w:r w:rsidRPr="00EF0BE0">
        <w:t>22%</w:t>
      </w:r>
      <w:r>
        <w:t>”</w:t>
      </w:r>
      <w:r w:rsidRPr="00EF0BE0">
        <w:t xml:space="preserve"> </w:t>
      </w:r>
      <w:r>
        <w:t xml:space="preserve">i </w:t>
      </w:r>
      <w:r w:rsidRPr="001247FB">
        <w:rPr>
          <w:rFonts w:cs="Arial"/>
        </w:rPr>
        <w:t>Podwójn</w:t>
      </w:r>
      <w:r w:rsidR="00617379">
        <w:rPr>
          <w:rFonts w:cs="Arial"/>
        </w:rPr>
        <w:t>ą medianą</w:t>
      </w:r>
      <w:r w:rsidRPr="001247FB">
        <w:rPr>
          <w:rFonts w:cs="Arial"/>
        </w:rPr>
        <w:t xml:space="preserve"> wydatków na energię</w:t>
      </w:r>
      <w:r w:rsidRPr="00EF0BE0">
        <w:t xml:space="preserve"> </w:t>
      </w:r>
      <w:r w:rsidR="00617379">
        <w:t>wynika z faktu</w:t>
      </w:r>
      <w:r w:rsidRPr="00EF0BE0">
        <w:t>, że</w:t>
      </w:r>
      <w:r w:rsidR="00617379">
        <w:t xml:space="preserve"> miara 2M reprezentuje medianę w roku</w:t>
      </w:r>
      <w:r w:rsidRPr="00EF0BE0">
        <w:t xml:space="preserve"> 2016 </w:t>
      </w:r>
      <w:r w:rsidR="00617379">
        <w:t>i opiera się na faktycznych wydatkach (a nie hipotetycznych). Podwójna mediana</w:t>
      </w:r>
      <w:r w:rsidRPr="00EF0BE0">
        <w:t xml:space="preserve"> może</w:t>
      </w:r>
      <w:r w:rsidR="00617379">
        <w:t xml:space="preserve"> też</w:t>
      </w:r>
      <w:r w:rsidRPr="00EF0BE0">
        <w:t xml:space="preserve"> zostać skorygowana na kolejne lata, a </w:t>
      </w:r>
      <w:r w:rsidR="00617379">
        <w:t>„</w:t>
      </w:r>
      <w:r w:rsidRPr="00EF0BE0">
        <w:t>22%</w:t>
      </w:r>
      <w:r w:rsidR="00617379">
        <w:t>”</w:t>
      </w:r>
      <w:r w:rsidRPr="00EF0BE0">
        <w:t xml:space="preserve"> </w:t>
      </w:r>
      <w:r w:rsidR="00617379">
        <w:t>z reguły powinien pozostać niezmieniony (podobnie jak „</w:t>
      </w:r>
      <w:r w:rsidR="00041026">
        <w:t xml:space="preserve">próg </w:t>
      </w:r>
      <w:r w:rsidR="00617379">
        <w:t>10%” w Wielkiej Brytanii).</w:t>
      </w:r>
    </w:p>
    <w:p w14:paraId="278D2727" w14:textId="22F52598" w:rsidR="008B41EA" w:rsidRPr="00617379" w:rsidRDefault="00617379" w:rsidP="00D9053C">
      <w:pPr>
        <w:pStyle w:val="Bullety"/>
        <w:numPr>
          <w:ilvl w:val="0"/>
          <w:numId w:val="0"/>
        </w:numPr>
        <w:rPr>
          <w:b/>
        </w:rPr>
      </w:pPr>
      <w:r w:rsidRPr="00617379">
        <w:rPr>
          <w:b/>
        </w:rPr>
        <w:t xml:space="preserve">Wykres </w:t>
      </w:r>
      <w:r w:rsidR="00041026">
        <w:rPr>
          <w:b/>
        </w:rPr>
        <w:t>1</w:t>
      </w:r>
      <w:r w:rsidRPr="00617379">
        <w:rPr>
          <w:b/>
        </w:rPr>
        <w:t xml:space="preserve"> Szeregi czasowe wskaźników ubóstwa energetycznego według udziału gospodarstw domowych [%] zidentyfikowanych jako ubogie energetycznie w latach 2012 - 2016</w:t>
      </w:r>
    </w:p>
    <w:p w14:paraId="7A6ACE90" w14:textId="5287860A" w:rsidR="00C16E75" w:rsidRDefault="00BC6FBB" w:rsidP="00C16E75">
      <w:pPr>
        <w:pStyle w:val="Bullety"/>
        <w:numPr>
          <w:ilvl w:val="0"/>
          <w:numId w:val="0"/>
        </w:numPr>
        <w:rPr>
          <w:lang w:val="en-GB"/>
        </w:rPr>
      </w:pPr>
      <w:r>
        <w:rPr>
          <w:noProof/>
        </w:rPr>
        <w:drawing>
          <wp:inline distT="0" distB="0" distL="0" distR="0" wp14:anchorId="342E03E0" wp14:editId="645784D6">
            <wp:extent cx="5591175" cy="3314700"/>
            <wp:effectExtent l="0" t="0" r="0" b="0"/>
            <wp:docPr id="5" name="Wykres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8EBE902" w14:textId="48B1F224" w:rsidR="008B41EA" w:rsidRPr="00617379" w:rsidRDefault="00617379" w:rsidP="00C16E75">
      <w:pPr>
        <w:pStyle w:val="Bullety"/>
        <w:numPr>
          <w:ilvl w:val="0"/>
          <w:numId w:val="0"/>
        </w:numPr>
        <w:rPr>
          <w:b/>
        </w:rPr>
      </w:pPr>
      <w:r w:rsidRPr="00617379">
        <w:rPr>
          <w:b/>
        </w:rPr>
        <w:t xml:space="preserve">Wykres </w:t>
      </w:r>
      <w:r w:rsidR="00041026">
        <w:rPr>
          <w:b/>
        </w:rPr>
        <w:t>2</w:t>
      </w:r>
      <w:r w:rsidRPr="00617379">
        <w:rPr>
          <w:b/>
        </w:rPr>
        <w:t xml:space="preserve"> Podsumowanie wskaźników ubóstwa energetycznego według udziału gospodarstw domowych [%] zidentyfikowanych jako ubogie energetycznie w 2016 r.</w:t>
      </w:r>
    </w:p>
    <w:p w14:paraId="7192A555" w14:textId="7D2C0F40" w:rsidR="00EB65FB" w:rsidRPr="00961B46" w:rsidRDefault="009C4C39" w:rsidP="00DC4EDA">
      <w:pPr>
        <w:autoSpaceDE w:val="0"/>
        <w:autoSpaceDN w:val="0"/>
        <w:adjustRightInd w:val="0"/>
        <w:spacing w:after="0" w:line="276" w:lineRule="auto"/>
        <w:rPr>
          <w:rFonts w:cs="Arial"/>
          <w:sz w:val="20"/>
          <w:szCs w:val="20"/>
        </w:rPr>
      </w:pPr>
      <w:r>
        <w:rPr>
          <w:noProof/>
          <w:lang w:eastAsia="pl-PL"/>
        </w:rPr>
        <w:drawing>
          <wp:inline distT="0" distB="0" distL="0" distR="0" wp14:anchorId="290C3074" wp14:editId="6E5BE98F">
            <wp:extent cx="5548999" cy="2733114"/>
            <wp:effectExtent l="0" t="0" r="0" b="10160"/>
            <wp:docPr id="8" name="Wykres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r w:rsidRPr="00961B46" w:rsidDel="009C4C39">
        <w:rPr>
          <w:noProof/>
          <w:lang w:eastAsia="pl-PL"/>
        </w:rPr>
        <w:t xml:space="preserve"> </w:t>
      </w:r>
    </w:p>
    <w:p w14:paraId="028B1796" w14:textId="12A84071" w:rsidR="003340CF" w:rsidRPr="003340CF" w:rsidRDefault="003340CF" w:rsidP="003340CF">
      <w:pPr>
        <w:pStyle w:val="Normal1"/>
      </w:pPr>
      <w:r>
        <w:t>Na podstawie szczegółowej analizy wskaźnika 10% w</w:t>
      </w:r>
      <w:r w:rsidRPr="003340CF">
        <w:t>nioskujemy, że nie jest</w:t>
      </w:r>
      <w:r w:rsidR="00041026">
        <w:t xml:space="preserve"> on</w:t>
      </w:r>
      <w:r w:rsidRPr="003340CF">
        <w:t xml:space="preserve"> </w:t>
      </w:r>
      <w:r>
        <w:t>właściwy</w:t>
      </w:r>
      <w:r w:rsidRPr="003340CF">
        <w:t xml:space="preserve"> do pomiaru </w:t>
      </w:r>
      <w:r>
        <w:t>ubóstwa energetycznego w Polsce.</w:t>
      </w:r>
      <w:r w:rsidRPr="003340CF">
        <w:t xml:space="preserve"> </w:t>
      </w:r>
      <w:r w:rsidR="00041026">
        <w:t>Wskaźnik i</w:t>
      </w:r>
      <w:r w:rsidRPr="003340CF">
        <w:t>dentyfikuje</w:t>
      </w:r>
      <w:r>
        <w:t xml:space="preserve"> </w:t>
      </w:r>
      <w:r w:rsidRPr="003340CF">
        <w:t>wyjątkowo duż</w:t>
      </w:r>
      <w:r>
        <w:t>y</w:t>
      </w:r>
      <w:r w:rsidRPr="003340CF">
        <w:t xml:space="preserve"> </w:t>
      </w:r>
      <w:r>
        <w:t xml:space="preserve">udział </w:t>
      </w:r>
      <w:r w:rsidRPr="003340CF">
        <w:t>gospodarstw domowych jako ubogi</w:t>
      </w:r>
      <w:r>
        <w:t>e</w:t>
      </w:r>
      <w:r w:rsidRPr="003340CF">
        <w:t xml:space="preserve"> energetycznie (około 47%, czyli ponad dwukrotnie więcej niż drugi najwyższy wskaźnik, </w:t>
      </w:r>
      <w:r>
        <w:t>U</w:t>
      </w:r>
      <w:r w:rsidRPr="003340CF">
        <w:t xml:space="preserve">kryte </w:t>
      </w:r>
      <w:r>
        <w:t>u</w:t>
      </w:r>
      <w:r w:rsidRPr="003340CF">
        <w:t xml:space="preserve">bóstwo </w:t>
      </w:r>
      <w:r>
        <w:t>e</w:t>
      </w:r>
      <w:r w:rsidRPr="003340CF">
        <w:t>nergetyczne</w:t>
      </w:r>
      <w:r>
        <w:t>).</w:t>
      </w:r>
      <w:r w:rsidR="00041026">
        <w:t xml:space="preserve"> W tabeli 4 prezentujemy wyniki dla subpopulacji wskaźnika. Z uwagi na brak logicznego uzasadnienia identyfikacji tak wysokiej stopy ubóstwa energetycznego w Polsce, rekomendujemy zmodyfikowanie wskaźnika.</w:t>
      </w:r>
    </w:p>
    <w:p w14:paraId="444F9F5B" w14:textId="06654ED5" w:rsidR="003340CF" w:rsidRPr="003340CF" w:rsidRDefault="003340CF" w:rsidP="003340CF">
      <w:pPr>
        <w:pStyle w:val="Normal1"/>
      </w:pPr>
      <w:r>
        <w:t>Z uwagi na fakt, że w</w:t>
      </w:r>
      <w:r w:rsidRPr="003340CF">
        <w:t xml:space="preserve">skaźnik </w:t>
      </w:r>
      <w:r>
        <w:t>„10%”</w:t>
      </w:r>
      <w:r w:rsidRPr="003340CF">
        <w:t xml:space="preserve"> </w:t>
      </w:r>
      <w:r>
        <w:t>pozwala na</w:t>
      </w:r>
      <w:r w:rsidRPr="003340CF">
        <w:t xml:space="preserve"> logiczny i intuicyjny </w:t>
      </w:r>
      <w:r>
        <w:t>opis</w:t>
      </w:r>
      <w:r w:rsidRPr="003340CF">
        <w:t xml:space="preserve"> rozkładu ubóstwa energetycznego w </w:t>
      </w:r>
      <w:r>
        <w:t>subpopulacjach (np. i</w:t>
      </w:r>
      <w:r w:rsidRPr="003340CF">
        <w:t xml:space="preserve">dentyfikuje gospodarstwa domowe zajmujące najstarsze domy jako ubogie energetycznie), jest </w:t>
      </w:r>
      <w:r w:rsidR="00F53CE2">
        <w:t xml:space="preserve">on jednak </w:t>
      </w:r>
      <w:r w:rsidRPr="003340CF">
        <w:t xml:space="preserve">wyraźnie </w:t>
      </w:r>
      <w:r>
        <w:t>nie</w:t>
      </w:r>
      <w:r w:rsidRPr="003340CF">
        <w:t>dostosowany do polskich poziomów wydatków. Dlatego proponujemy</w:t>
      </w:r>
      <w:r>
        <w:t xml:space="preserve"> wykorzystanie</w:t>
      </w:r>
      <w:r w:rsidRPr="003340CF">
        <w:t xml:space="preserve"> zmienion</w:t>
      </w:r>
      <w:r>
        <w:t>ej</w:t>
      </w:r>
      <w:r w:rsidRPr="003340CF">
        <w:t xml:space="preserve"> wersję wskaźnika, która jest odpowiednia dla </w:t>
      </w:r>
      <w:r w:rsidR="00D000C6">
        <w:t>Polski</w:t>
      </w:r>
      <w:r w:rsidRPr="003340CF">
        <w:t>, czyli 22% udziału wymaganych kosztów energii w</w:t>
      </w:r>
      <w:r w:rsidR="00D000C6">
        <w:t xml:space="preserve"> </w:t>
      </w:r>
      <w:r w:rsidRPr="003340CF">
        <w:t xml:space="preserve">dochodzie. </w:t>
      </w:r>
    </w:p>
    <w:p w14:paraId="08FAAA6C" w14:textId="1E97E8F8" w:rsidR="00EB65FB" w:rsidRPr="00D000C6" w:rsidRDefault="00D000C6" w:rsidP="00EB65FB">
      <w:pPr>
        <w:autoSpaceDE w:val="0"/>
        <w:autoSpaceDN w:val="0"/>
        <w:adjustRightInd w:val="0"/>
        <w:spacing w:after="0" w:line="276" w:lineRule="auto"/>
        <w:rPr>
          <w:rFonts w:cs="Arial"/>
          <w:b/>
          <w:sz w:val="20"/>
          <w:szCs w:val="20"/>
        </w:rPr>
      </w:pPr>
      <w:r w:rsidRPr="00D000C6">
        <w:rPr>
          <w:rFonts w:cs="Arial"/>
          <w:b/>
          <w:sz w:val="20"/>
          <w:szCs w:val="20"/>
        </w:rPr>
        <w:t>Tabela</w:t>
      </w:r>
      <w:r w:rsidR="00EB65FB" w:rsidRPr="00D000C6">
        <w:rPr>
          <w:rFonts w:cs="Arial"/>
          <w:b/>
          <w:sz w:val="20"/>
          <w:szCs w:val="20"/>
        </w:rPr>
        <w:t xml:space="preserve"> </w:t>
      </w:r>
      <w:r w:rsidR="00F53CE2">
        <w:rPr>
          <w:rFonts w:cs="Arial"/>
          <w:b/>
          <w:sz w:val="20"/>
          <w:szCs w:val="20"/>
        </w:rPr>
        <w:t>4</w:t>
      </w:r>
      <w:r w:rsidR="00E71D06" w:rsidRPr="00D000C6">
        <w:rPr>
          <w:rFonts w:cs="Arial"/>
          <w:b/>
          <w:sz w:val="20"/>
          <w:szCs w:val="20"/>
        </w:rPr>
        <w:t xml:space="preserve"> </w:t>
      </w:r>
      <w:r w:rsidRPr="00D000C6">
        <w:rPr>
          <w:rFonts w:cs="Arial"/>
          <w:b/>
          <w:sz w:val="20"/>
          <w:szCs w:val="20"/>
        </w:rPr>
        <w:t>Wyniki dla subpopulacji wskaźnika</w:t>
      </w:r>
      <w:r w:rsidR="00EB65FB" w:rsidRPr="00D000C6">
        <w:rPr>
          <w:rFonts w:cs="Arial"/>
          <w:b/>
          <w:sz w:val="20"/>
          <w:szCs w:val="20"/>
        </w:rPr>
        <w:t xml:space="preserve"> 10% </w:t>
      </w:r>
      <w:r w:rsidRPr="00D000C6">
        <w:rPr>
          <w:rFonts w:cs="Arial"/>
          <w:b/>
          <w:sz w:val="20"/>
          <w:szCs w:val="20"/>
        </w:rPr>
        <w:t>Udział wymaganych wydatków na energię względem dochodu</w:t>
      </w:r>
    </w:p>
    <w:p w14:paraId="653B487B" w14:textId="7B370653" w:rsidR="00EB65FB" w:rsidRPr="00961B46" w:rsidRDefault="00EB65FB" w:rsidP="00EB65FB">
      <w:pPr>
        <w:autoSpaceDE w:val="0"/>
        <w:autoSpaceDN w:val="0"/>
        <w:adjustRightInd w:val="0"/>
        <w:spacing w:after="0" w:line="276" w:lineRule="auto"/>
        <w:rPr>
          <w:rFonts w:cs="Arial"/>
          <w:b/>
          <w:sz w:val="20"/>
          <w:szCs w:val="20"/>
        </w:rPr>
      </w:pPr>
    </w:p>
    <w:tbl>
      <w:tblPr>
        <w:tblStyle w:val="Tabela-Siatka"/>
        <w:tblW w:w="0" w:type="auto"/>
        <w:tblBorders>
          <w:insideH w:val="dotted" w:sz="4" w:space="0" w:color="auto"/>
          <w:insideV w:val="dotted" w:sz="4" w:space="0" w:color="auto"/>
        </w:tblBorders>
        <w:tblLook w:val="04A0" w:firstRow="1" w:lastRow="0" w:firstColumn="1" w:lastColumn="0" w:noHBand="0" w:noVBand="1"/>
      </w:tblPr>
      <w:tblGrid>
        <w:gridCol w:w="2351"/>
        <w:gridCol w:w="3871"/>
        <w:gridCol w:w="1404"/>
        <w:gridCol w:w="1173"/>
      </w:tblGrid>
      <w:tr w:rsidR="00EB65FB" w14:paraId="5B76ADA5" w14:textId="77777777" w:rsidTr="00ED506B">
        <w:tc>
          <w:tcPr>
            <w:tcW w:w="6222" w:type="dxa"/>
            <w:gridSpan w:val="2"/>
            <w:tcBorders>
              <w:top w:val="single" w:sz="4" w:space="0" w:color="000000" w:themeColor="text1"/>
              <w:bottom w:val="single" w:sz="4" w:space="0" w:color="000000" w:themeColor="text1"/>
              <w:right w:val="single" w:sz="4" w:space="0" w:color="000000" w:themeColor="text1"/>
            </w:tcBorders>
            <w:shd w:val="clear" w:color="auto" w:fill="FFFF00"/>
            <w:vAlign w:val="center"/>
          </w:tcPr>
          <w:p w14:paraId="2E587C23" w14:textId="74AA289D" w:rsidR="00EB65FB" w:rsidRPr="00961B46" w:rsidRDefault="00D000C6" w:rsidP="00A30F4F">
            <w:pPr>
              <w:autoSpaceDE w:val="0"/>
              <w:autoSpaceDN w:val="0"/>
              <w:adjustRightInd w:val="0"/>
              <w:spacing w:after="0" w:line="276" w:lineRule="auto"/>
              <w:jc w:val="center"/>
              <w:rPr>
                <w:rFonts w:cs="Arial"/>
                <w:b/>
                <w:sz w:val="20"/>
                <w:szCs w:val="20"/>
                <w:lang w:val="pl-PL"/>
              </w:rPr>
            </w:pPr>
            <w:r w:rsidRPr="00D000C6">
              <w:rPr>
                <w:rFonts w:cs="Arial"/>
                <w:b/>
                <w:sz w:val="20"/>
                <w:szCs w:val="20"/>
                <w:lang w:val="pl-PL"/>
              </w:rPr>
              <w:t>10% Udział wymaganych wydatków na energię względem dochodu</w:t>
            </w:r>
          </w:p>
        </w:tc>
        <w:tc>
          <w:tcPr>
            <w:tcW w:w="1404" w:type="dxa"/>
            <w:tcBorders>
              <w:top w:val="single" w:sz="4" w:space="0" w:color="000000" w:themeColor="text1"/>
              <w:left w:val="single" w:sz="4" w:space="0" w:color="000000" w:themeColor="text1"/>
              <w:bottom w:val="single" w:sz="4" w:space="0" w:color="000000" w:themeColor="text1"/>
            </w:tcBorders>
            <w:shd w:val="clear" w:color="auto" w:fill="FFFF00"/>
          </w:tcPr>
          <w:p w14:paraId="139F224F" w14:textId="7358968F" w:rsidR="00EB65FB" w:rsidRPr="00D000C6" w:rsidRDefault="00D000C6" w:rsidP="00A30F4F">
            <w:pPr>
              <w:autoSpaceDE w:val="0"/>
              <w:autoSpaceDN w:val="0"/>
              <w:adjustRightInd w:val="0"/>
              <w:spacing w:after="0" w:line="276" w:lineRule="auto"/>
              <w:jc w:val="center"/>
              <w:rPr>
                <w:rFonts w:cs="Arial"/>
                <w:b/>
                <w:sz w:val="20"/>
                <w:szCs w:val="20"/>
                <w:lang w:val="pl-PL"/>
              </w:rPr>
            </w:pPr>
            <w:r w:rsidRPr="00D000C6">
              <w:rPr>
                <w:rFonts w:cs="Arial"/>
                <w:b/>
                <w:sz w:val="20"/>
                <w:szCs w:val="20"/>
                <w:lang w:val="pl-PL"/>
              </w:rPr>
              <w:t>Wartość</w:t>
            </w:r>
          </w:p>
        </w:tc>
        <w:tc>
          <w:tcPr>
            <w:tcW w:w="1173" w:type="dxa"/>
            <w:tcBorders>
              <w:top w:val="single" w:sz="4" w:space="0" w:color="000000" w:themeColor="text1"/>
              <w:bottom w:val="single" w:sz="4" w:space="0" w:color="000000" w:themeColor="text1"/>
            </w:tcBorders>
            <w:shd w:val="clear" w:color="auto" w:fill="FFFF00"/>
          </w:tcPr>
          <w:p w14:paraId="5AF3F123" w14:textId="72151E6E" w:rsidR="00EB65FB" w:rsidRPr="00D000C6" w:rsidRDefault="00D000C6" w:rsidP="00A30F4F">
            <w:pPr>
              <w:autoSpaceDE w:val="0"/>
              <w:autoSpaceDN w:val="0"/>
              <w:adjustRightInd w:val="0"/>
              <w:spacing w:after="0" w:line="276" w:lineRule="auto"/>
              <w:jc w:val="center"/>
              <w:rPr>
                <w:rFonts w:cs="Arial"/>
                <w:b/>
                <w:sz w:val="20"/>
                <w:szCs w:val="20"/>
                <w:lang w:val="pl-PL"/>
              </w:rPr>
            </w:pPr>
            <w:r w:rsidRPr="00D000C6">
              <w:rPr>
                <w:rFonts w:cs="Arial"/>
                <w:b/>
                <w:sz w:val="20"/>
                <w:szCs w:val="20"/>
                <w:lang w:val="pl-PL"/>
              </w:rPr>
              <w:t>Udział</w:t>
            </w:r>
            <w:r w:rsidR="00EB65FB" w:rsidRPr="00D000C6">
              <w:rPr>
                <w:rFonts w:cs="Arial"/>
                <w:b/>
                <w:sz w:val="20"/>
                <w:szCs w:val="20"/>
                <w:lang w:val="pl-PL"/>
              </w:rPr>
              <w:t xml:space="preserve"> [%]</w:t>
            </w:r>
          </w:p>
        </w:tc>
      </w:tr>
      <w:tr w:rsidR="00EB65FB" w14:paraId="1D6B555A" w14:textId="77777777" w:rsidTr="00ED506B">
        <w:tc>
          <w:tcPr>
            <w:tcW w:w="6222" w:type="dxa"/>
            <w:gridSpan w:val="2"/>
            <w:tcBorders>
              <w:top w:val="single" w:sz="4" w:space="0" w:color="000000" w:themeColor="text1"/>
              <w:bottom w:val="dotted" w:sz="4" w:space="0" w:color="auto"/>
              <w:right w:val="single" w:sz="4" w:space="0" w:color="000000" w:themeColor="text1"/>
            </w:tcBorders>
            <w:vAlign w:val="center"/>
          </w:tcPr>
          <w:p w14:paraId="72F07C4A" w14:textId="48C9F9CC" w:rsidR="00EB65FB" w:rsidRPr="00D000C6" w:rsidRDefault="00D000C6" w:rsidP="00A30F4F">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Gospodarstwa domowe</w:t>
            </w:r>
          </w:p>
        </w:tc>
        <w:tc>
          <w:tcPr>
            <w:tcW w:w="1404" w:type="dxa"/>
            <w:tcBorders>
              <w:top w:val="single" w:sz="4" w:space="0" w:color="000000" w:themeColor="text1"/>
              <w:left w:val="single" w:sz="4" w:space="0" w:color="000000" w:themeColor="text1"/>
            </w:tcBorders>
          </w:tcPr>
          <w:p w14:paraId="0EDD0B90" w14:textId="77777777" w:rsidR="00EB65FB" w:rsidRPr="00804BFA" w:rsidRDefault="00EB65FB" w:rsidP="00A30F4F">
            <w:pPr>
              <w:autoSpaceDE w:val="0"/>
              <w:autoSpaceDN w:val="0"/>
              <w:adjustRightInd w:val="0"/>
              <w:spacing w:after="0" w:line="276" w:lineRule="auto"/>
              <w:jc w:val="center"/>
              <w:rPr>
                <w:rFonts w:cs="Arial"/>
                <w:sz w:val="20"/>
                <w:szCs w:val="20"/>
                <w:lang w:val="en-GB"/>
              </w:rPr>
            </w:pPr>
            <w:r w:rsidRPr="00804BFA">
              <w:rPr>
                <w:rFonts w:cs="Arial"/>
                <w:sz w:val="20"/>
                <w:szCs w:val="20"/>
                <w:lang w:val="en-GB"/>
              </w:rPr>
              <w:t>6 219 462</w:t>
            </w:r>
          </w:p>
        </w:tc>
        <w:tc>
          <w:tcPr>
            <w:tcW w:w="1173" w:type="dxa"/>
            <w:tcBorders>
              <w:top w:val="single" w:sz="4" w:space="0" w:color="000000" w:themeColor="text1"/>
            </w:tcBorders>
          </w:tcPr>
          <w:p w14:paraId="51113D59" w14:textId="2B806B54" w:rsidR="00EB65FB" w:rsidRPr="00804BFA" w:rsidRDefault="00EB65FB" w:rsidP="00F53CE2">
            <w:pPr>
              <w:autoSpaceDE w:val="0"/>
              <w:autoSpaceDN w:val="0"/>
              <w:adjustRightInd w:val="0"/>
              <w:spacing w:after="0" w:line="276" w:lineRule="auto"/>
              <w:jc w:val="center"/>
              <w:rPr>
                <w:rFonts w:cs="Arial"/>
                <w:sz w:val="20"/>
                <w:szCs w:val="20"/>
                <w:lang w:val="en-GB"/>
              </w:rPr>
            </w:pPr>
            <w:r w:rsidRPr="00804BFA">
              <w:rPr>
                <w:rFonts w:cs="Arial"/>
                <w:sz w:val="20"/>
                <w:szCs w:val="20"/>
                <w:lang w:val="en-GB"/>
              </w:rPr>
              <w:t>46</w:t>
            </w:r>
            <w:r w:rsidR="00F53CE2">
              <w:rPr>
                <w:rFonts w:cs="Arial"/>
                <w:sz w:val="20"/>
                <w:szCs w:val="20"/>
                <w:lang w:val="en-GB"/>
              </w:rPr>
              <w:t>,</w:t>
            </w:r>
            <w:r w:rsidRPr="00804BFA">
              <w:rPr>
                <w:rFonts w:cs="Arial"/>
                <w:sz w:val="20"/>
                <w:szCs w:val="20"/>
                <w:lang w:val="en-GB"/>
              </w:rPr>
              <w:t>7</w:t>
            </w:r>
          </w:p>
        </w:tc>
      </w:tr>
      <w:tr w:rsidR="00EB65FB" w14:paraId="5F4DE7CD" w14:textId="77777777" w:rsidTr="00ED506B">
        <w:tc>
          <w:tcPr>
            <w:tcW w:w="6222" w:type="dxa"/>
            <w:gridSpan w:val="2"/>
            <w:tcBorders>
              <w:top w:val="dotted" w:sz="4" w:space="0" w:color="auto"/>
              <w:bottom w:val="dotted" w:sz="4" w:space="0" w:color="auto"/>
              <w:right w:val="single" w:sz="4" w:space="0" w:color="000000" w:themeColor="text1"/>
            </w:tcBorders>
            <w:vAlign w:val="center"/>
          </w:tcPr>
          <w:p w14:paraId="39B62541" w14:textId="0780D364" w:rsidR="00EB65FB" w:rsidRPr="00D000C6" w:rsidRDefault="00D000C6" w:rsidP="00A30F4F">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Domy jednorodzinne</w:t>
            </w:r>
          </w:p>
        </w:tc>
        <w:tc>
          <w:tcPr>
            <w:tcW w:w="1404" w:type="dxa"/>
            <w:tcBorders>
              <w:left w:val="single" w:sz="4" w:space="0" w:color="000000" w:themeColor="text1"/>
              <w:bottom w:val="dotted" w:sz="4" w:space="0" w:color="auto"/>
            </w:tcBorders>
          </w:tcPr>
          <w:p w14:paraId="1BBFF400" w14:textId="77777777" w:rsidR="00EB65FB" w:rsidRPr="00804BFA" w:rsidRDefault="00EB65FB" w:rsidP="00A30F4F">
            <w:pPr>
              <w:autoSpaceDE w:val="0"/>
              <w:autoSpaceDN w:val="0"/>
              <w:adjustRightInd w:val="0"/>
              <w:spacing w:after="0" w:line="276" w:lineRule="auto"/>
              <w:jc w:val="center"/>
              <w:rPr>
                <w:rFonts w:cs="Arial"/>
                <w:sz w:val="20"/>
                <w:szCs w:val="20"/>
                <w:lang w:val="en-GB"/>
              </w:rPr>
            </w:pPr>
            <w:r w:rsidRPr="00804BFA">
              <w:rPr>
                <w:rFonts w:cs="Arial"/>
                <w:sz w:val="20"/>
                <w:szCs w:val="20"/>
                <w:lang w:val="en-GB"/>
              </w:rPr>
              <w:t>3 118 340</w:t>
            </w:r>
          </w:p>
        </w:tc>
        <w:tc>
          <w:tcPr>
            <w:tcW w:w="1173" w:type="dxa"/>
            <w:tcBorders>
              <w:bottom w:val="dotted" w:sz="4" w:space="0" w:color="auto"/>
            </w:tcBorders>
          </w:tcPr>
          <w:p w14:paraId="2E005F1F" w14:textId="00EB9FDD" w:rsidR="00EB65FB" w:rsidRPr="00804BFA" w:rsidRDefault="00EB65FB" w:rsidP="00F53CE2">
            <w:pPr>
              <w:autoSpaceDE w:val="0"/>
              <w:autoSpaceDN w:val="0"/>
              <w:adjustRightInd w:val="0"/>
              <w:spacing w:after="0" w:line="276" w:lineRule="auto"/>
              <w:jc w:val="center"/>
              <w:rPr>
                <w:rFonts w:cs="Arial"/>
                <w:sz w:val="20"/>
                <w:szCs w:val="20"/>
                <w:lang w:val="en-GB"/>
              </w:rPr>
            </w:pPr>
            <w:r w:rsidRPr="00804BFA">
              <w:rPr>
                <w:rFonts w:cs="Arial"/>
                <w:sz w:val="20"/>
                <w:szCs w:val="20"/>
                <w:lang w:val="en-GB"/>
              </w:rPr>
              <w:t>51</w:t>
            </w:r>
            <w:r w:rsidR="00F53CE2">
              <w:rPr>
                <w:rFonts w:cs="Arial"/>
                <w:sz w:val="20"/>
                <w:szCs w:val="20"/>
                <w:lang w:val="en-GB"/>
              </w:rPr>
              <w:t>,</w:t>
            </w:r>
            <w:r w:rsidRPr="00804BFA">
              <w:rPr>
                <w:rFonts w:cs="Arial"/>
                <w:sz w:val="20"/>
                <w:szCs w:val="20"/>
                <w:lang w:val="en-GB"/>
              </w:rPr>
              <w:t>7</w:t>
            </w:r>
          </w:p>
        </w:tc>
      </w:tr>
      <w:tr w:rsidR="00EB65FB" w14:paraId="7B953167" w14:textId="77777777" w:rsidTr="00ED506B">
        <w:tc>
          <w:tcPr>
            <w:tcW w:w="6222" w:type="dxa"/>
            <w:gridSpan w:val="2"/>
            <w:tcBorders>
              <w:top w:val="dotted" w:sz="4" w:space="0" w:color="auto"/>
              <w:bottom w:val="single" w:sz="4" w:space="0" w:color="000000" w:themeColor="text1"/>
              <w:right w:val="single" w:sz="4" w:space="0" w:color="000000" w:themeColor="text1"/>
            </w:tcBorders>
            <w:vAlign w:val="center"/>
          </w:tcPr>
          <w:p w14:paraId="4AC27E83" w14:textId="7C9CB474" w:rsidR="00EB65FB" w:rsidRPr="00D000C6" w:rsidRDefault="00D000C6" w:rsidP="00A30F4F">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Domy wielorodzinne</w:t>
            </w:r>
          </w:p>
        </w:tc>
        <w:tc>
          <w:tcPr>
            <w:tcW w:w="1404" w:type="dxa"/>
            <w:tcBorders>
              <w:top w:val="dotted" w:sz="4" w:space="0" w:color="auto"/>
              <w:left w:val="single" w:sz="4" w:space="0" w:color="000000" w:themeColor="text1"/>
              <w:bottom w:val="single" w:sz="4" w:space="0" w:color="000000" w:themeColor="text1"/>
            </w:tcBorders>
          </w:tcPr>
          <w:p w14:paraId="227C35AB" w14:textId="77777777" w:rsidR="00EB65FB" w:rsidRPr="00804BFA" w:rsidRDefault="00EB65FB" w:rsidP="00A30F4F">
            <w:pPr>
              <w:autoSpaceDE w:val="0"/>
              <w:autoSpaceDN w:val="0"/>
              <w:adjustRightInd w:val="0"/>
              <w:spacing w:after="0" w:line="276" w:lineRule="auto"/>
              <w:jc w:val="center"/>
              <w:rPr>
                <w:rFonts w:cs="Arial"/>
                <w:sz w:val="20"/>
                <w:szCs w:val="20"/>
                <w:lang w:val="en-GB"/>
              </w:rPr>
            </w:pPr>
            <w:r w:rsidRPr="00804BFA">
              <w:rPr>
                <w:rFonts w:cs="Arial"/>
                <w:sz w:val="20"/>
                <w:szCs w:val="20"/>
                <w:lang w:val="en-GB"/>
              </w:rPr>
              <w:t>3 101 123</w:t>
            </w:r>
          </w:p>
        </w:tc>
        <w:tc>
          <w:tcPr>
            <w:tcW w:w="1173" w:type="dxa"/>
            <w:tcBorders>
              <w:top w:val="dotted" w:sz="4" w:space="0" w:color="auto"/>
              <w:bottom w:val="single" w:sz="4" w:space="0" w:color="000000" w:themeColor="text1"/>
            </w:tcBorders>
          </w:tcPr>
          <w:p w14:paraId="12239EF1" w14:textId="13F8E862" w:rsidR="00EB65FB" w:rsidRPr="00804BFA" w:rsidRDefault="00EB65FB" w:rsidP="00C16E75">
            <w:pPr>
              <w:autoSpaceDE w:val="0"/>
              <w:autoSpaceDN w:val="0"/>
              <w:adjustRightInd w:val="0"/>
              <w:spacing w:after="0" w:line="276" w:lineRule="auto"/>
              <w:jc w:val="center"/>
              <w:rPr>
                <w:rFonts w:cs="Arial"/>
                <w:sz w:val="20"/>
                <w:szCs w:val="20"/>
                <w:lang w:val="en-GB"/>
              </w:rPr>
            </w:pPr>
            <w:r w:rsidRPr="00804BFA">
              <w:rPr>
                <w:rFonts w:cs="Arial"/>
                <w:sz w:val="20"/>
                <w:szCs w:val="20"/>
                <w:lang w:val="en-GB"/>
              </w:rPr>
              <w:t>42</w:t>
            </w:r>
            <w:r w:rsidR="00F53CE2">
              <w:rPr>
                <w:rFonts w:cs="Arial"/>
                <w:sz w:val="20"/>
                <w:szCs w:val="20"/>
                <w:lang w:val="en-GB"/>
              </w:rPr>
              <w:t>,</w:t>
            </w:r>
            <w:r w:rsidRPr="00804BFA">
              <w:rPr>
                <w:rFonts w:cs="Arial"/>
                <w:sz w:val="20"/>
                <w:szCs w:val="20"/>
                <w:lang w:val="en-GB"/>
              </w:rPr>
              <w:t>6</w:t>
            </w:r>
          </w:p>
        </w:tc>
      </w:tr>
      <w:tr w:rsidR="00ED506B" w:rsidRPr="000D59EA" w14:paraId="5601C0B4" w14:textId="77777777" w:rsidTr="00ED506B">
        <w:tc>
          <w:tcPr>
            <w:tcW w:w="2351" w:type="dxa"/>
            <w:vMerge w:val="restart"/>
            <w:tcBorders>
              <w:top w:val="single" w:sz="4" w:space="0" w:color="000000" w:themeColor="text1"/>
              <w:bottom w:val="dotted" w:sz="4" w:space="0" w:color="auto"/>
            </w:tcBorders>
            <w:vAlign w:val="center"/>
          </w:tcPr>
          <w:p w14:paraId="259542EB" w14:textId="4B35745F" w:rsidR="00ED506B" w:rsidRPr="00D000C6" w:rsidRDefault="00ED506B" w:rsidP="00A30F4F">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Domy jednorodzinne z uwzględnieniem roku budowy</w:t>
            </w:r>
          </w:p>
        </w:tc>
        <w:tc>
          <w:tcPr>
            <w:tcW w:w="3871" w:type="dxa"/>
            <w:tcBorders>
              <w:top w:val="single" w:sz="4" w:space="0" w:color="000000" w:themeColor="text1"/>
              <w:bottom w:val="dotted" w:sz="4" w:space="0" w:color="auto"/>
              <w:right w:val="single" w:sz="4" w:space="0" w:color="000000" w:themeColor="text1"/>
            </w:tcBorders>
            <w:vAlign w:val="bottom"/>
          </w:tcPr>
          <w:p w14:paraId="6A34E6A5" w14:textId="52F60229" w:rsidR="00ED506B" w:rsidRPr="00ED506B" w:rsidRDefault="00ED506B" w:rsidP="00A30F4F">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przed 1946 r.</w:t>
            </w:r>
          </w:p>
        </w:tc>
        <w:tc>
          <w:tcPr>
            <w:tcW w:w="1404" w:type="dxa"/>
            <w:tcBorders>
              <w:top w:val="single" w:sz="4" w:space="0" w:color="000000" w:themeColor="text1"/>
              <w:left w:val="single" w:sz="4" w:space="0" w:color="000000" w:themeColor="text1"/>
            </w:tcBorders>
          </w:tcPr>
          <w:p w14:paraId="0A812767"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619 209</w:t>
            </w:r>
          </w:p>
        </w:tc>
        <w:tc>
          <w:tcPr>
            <w:tcW w:w="1173" w:type="dxa"/>
            <w:tcBorders>
              <w:top w:val="single" w:sz="4" w:space="0" w:color="000000" w:themeColor="text1"/>
            </w:tcBorders>
          </w:tcPr>
          <w:p w14:paraId="17D15DA2" w14:textId="0D1A9F12"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59</w:t>
            </w:r>
            <w:r w:rsidR="00F53CE2">
              <w:rPr>
                <w:sz w:val="20"/>
                <w:szCs w:val="20"/>
              </w:rPr>
              <w:t>,</w:t>
            </w:r>
            <w:r w:rsidRPr="00804BFA">
              <w:rPr>
                <w:sz w:val="20"/>
                <w:szCs w:val="20"/>
              </w:rPr>
              <w:t>6</w:t>
            </w:r>
          </w:p>
        </w:tc>
      </w:tr>
      <w:tr w:rsidR="00ED506B" w:rsidRPr="000D59EA" w14:paraId="798F33EA" w14:textId="77777777" w:rsidTr="00ED506B">
        <w:tc>
          <w:tcPr>
            <w:tcW w:w="2351" w:type="dxa"/>
            <w:vMerge/>
            <w:tcBorders>
              <w:top w:val="dotted" w:sz="4" w:space="0" w:color="auto"/>
              <w:bottom w:val="dotted" w:sz="4" w:space="0" w:color="auto"/>
            </w:tcBorders>
            <w:vAlign w:val="center"/>
          </w:tcPr>
          <w:p w14:paraId="1C4AA3B7"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767773A7" w14:textId="04CF05AD" w:rsidR="00ED506B" w:rsidRPr="00ED506B" w:rsidRDefault="00ED506B" w:rsidP="00A30F4F">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w latach 1946-1960</w:t>
            </w:r>
          </w:p>
        </w:tc>
        <w:tc>
          <w:tcPr>
            <w:tcW w:w="1404" w:type="dxa"/>
            <w:tcBorders>
              <w:left w:val="single" w:sz="4" w:space="0" w:color="000000" w:themeColor="text1"/>
            </w:tcBorders>
          </w:tcPr>
          <w:p w14:paraId="5F9CB524"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506 068</w:t>
            </w:r>
          </w:p>
        </w:tc>
        <w:tc>
          <w:tcPr>
            <w:tcW w:w="1173" w:type="dxa"/>
          </w:tcPr>
          <w:p w14:paraId="19DE2070" w14:textId="4E468B44"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58</w:t>
            </w:r>
            <w:r w:rsidR="00F53CE2">
              <w:rPr>
                <w:sz w:val="20"/>
                <w:szCs w:val="20"/>
              </w:rPr>
              <w:t>,</w:t>
            </w:r>
            <w:r w:rsidRPr="00804BFA">
              <w:rPr>
                <w:sz w:val="20"/>
                <w:szCs w:val="20"/>
              </w:rPr>
              <w:t>1</w:t>
            </w:r>
          </w:p>
        </w:tc>
      </w:tr>
      <w:tr w:rsidR="00ED506B" w:rsidRPr="000D59EA" w14:paraId="7801096E" w14:textId="77777777" w:rsidTr="00ED506B">
        <w:tc>
          <w:tcPr>
            <w:tcW w:w="2351" w:type="dxa"/>
            <w:vMerge/>
            <w:tcBorders>
              <w:top w:val="dotted" w:sz="4" w:space="0" w:color="auto"/>
              <w:bottom w:val="dotted" w:sz="4" w:space="0" w:color="auto"/>
            </w:tcBorders>
            <w:vAlign w:val="center"/>
          </w:tcPr>
          <w:p w14:paraId="05C77FF0"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5183CB44" w14:textId="0EB830D3" w:rsidR="00ED506B" w:rsidRPr="00ED506B" w:rsidRDefault="00ED506B" w:rsidP="00A30F4F">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w latach 1961-1980</w:t>
            </w:r>
          </w:p>
        </w:tc>
        <w:tc>
          <w:tcPr>
            <w:tcW w:w="1404" w:type="dxa"/>
            <w:tcBorders>
              <w:left w:val="single" w:sz="4" w:space="0" w:color="000000" w:themeColor="text1"/>
            </w:tcBorders>
          </w:tcPr>
          <w:p w14:paraId="4819C891"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1 080 250</w:t>
            </w:r>
          </w:p>
        </w:tc>
        <w:tc>
          <w:tcPr>
            <w:tcW w:w="1173" w:type="dxa"/>
          </w:tcPr>
          <w:p w14:paraId="20304CDA" w14:textId="1F237278"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55</w:t>
            </w:r>
            <w:r w:rsidR="00F53CE2">
              <w:rPr>
                <w:sz w:val="20"/>
                <w:szCs w:val="20"/>
              </w:rPr>
              <w:t>,</w:t>
            </w:r>
            <w:r w:rsidRPr="00804BFA">
              <w:rPr>
                <w:sz w:val="20"/>
                <w:szCs w:val="20"/>
              </w:rPr>
              <w:t>6</w:t>
            </w:r>
          </w:p>
        </w:tc>
      </w:tr>
      <w:tr w:rsidR="00ED506B" w:rsidRPr="000D59EA" w14:paraId="75402302" w14:textId="77777777" w:rsidTr="00ED506B">
        <w:tc>
          <w:tcPr>
            <w:tcW w:w="2351" w:type="dxa"/>
            <w:vMerge/>
            <w:tcBorders>
              <w:top w:val="dotted" w:sz="4" w:space="0" w:color="auto"/>
              <w:bottom w:val="dotted" w:sz="4" w:space="0" w:color="auto"/>
            </w:tcBorders>
            <w:vAlign w:val="center"/>
          </w:tcPr>
          <w:p w14:paraId="5AD3B0AD"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062DD676" w14:textId="68C6F943" w:rsidR="00ED506B" w:rsidRPr="00ED506B" w:rsidRDefault="00ED506B" w:rsidP="00A30F4F">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w latach 1981-1995</w:t>
            </w:r>
          </w:p>
        </w:tc>
        <w:tc>
          <w:tcPr>
            <w:tcW w:w="1404" w:type="dxa"/>
            <w:tcBorders>
              <w:left w:val="single" w:sz="4" w:space="0" w:color="000000" w:themeColor="text1"/>
            </w:tcBorders>
          </w:tcPr>
          <w:p w14:paraId="278918C7"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618 005</w:t>
            </w:r>
          </w:p>
        </w:tc>
        <w:tc>
          <w:tcPr>
            <w:tcW w:w="1173" w:type="dxa"/>
          </w:tcPr>
          <w:p w14:paraId="51884EB4" w14:textId="31E25A0B"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50</w:t>
            </w:r>
            <w:r w:rsidR="00F53CE2">
              <w:rPr>
                <w:sz w:val="20"/>
                <w:szCs w:val="20"/>
              </w:rPr>
              <w:t>,</w:t>
            </w:r>
            <w:r w:rsidRPr="00804BFA">
              <w:rPr>
                <w:sz w:val="20"/>
                <w:szCs w:val="20"/>
              </w:rPr>
              <w:t>3</w:t>
            </w:r>
          </w:p>
        </w:tc>
      </w:tr>
      <w:tr w:rsidR="00ED506B" w:rsidRPr="000D59EA" w14:paraId="134813AC" w14:textId="77777777" w:rsidTr="00ED506B">
        <w:tc>
          <w:tcPr>
            <w:tcW w:w="2351" w:type="dxa"/>
            <w:vMerge/>
            <w:tcBorders>
              <w:top w:val="dotted" w:sz="4" w:space="0" w:color="auto"/>
              <w:bottom w:val="dotted" w:sz="4" w:space="0" w:color="auto"/>
            </w:tcBorders>
            <w:vAlign w:val="center"/>
          </w:tcPr>
          <w:p w14:paraId="388BF8D7"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6CD62658" w14:textId="4B397523" w:rsidR="00ED506B" w:rsidRPr="00ED506B" w:rsidRDefault="00ED506B" w:rsidP="00A30F4F">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w latach 1996-2006</w:t>
            </w:r>
          </w:p>
        </w:tc>
        <w:tc>
          <w:tcPr>
            <w:tcW w:w="1404" w:type="dxa"/>
            <w:tcBorders>
              <w:left w:val="single" w:sz="4" w:space="0" w:color="000000" w:themeColor="text1"/>
            </w:tcBorders>
          </w:tcPr>
          <w:p w14:paraId="6E8A00CB"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205 679</w:t>
            </w:r>
          </w:p>
        </w:tc>
        <w:tc>
          <w:tcPr>
            <w:tcW w:w="1173" w:type="dxa"/>
          </w:tcPr>
          <w:p w14:paraId="3F4D4B21" w14:textId="040849D3"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35</w:t>
            </w:r>
            <w:r w:rsidR="00F53CE2">
              <w:rPr>
                <w:sz w:val="20"/>
                <w:szCs w:val="20"/>
              </w:rPr>
              <w:t>,</w:t>
            </w:r>
            <w:r w:rsidRPr="00804BFA">
              <w:rPr>
                <w:sz w:val="20"/>
                <w:szCs w:val="20"/>
              </w:rPr>
              <w:t>1</w:t>
            </w:r>
          </w:p>
        </w:tc>
      </w:tr>
      <w:tr w:rsidR="00ED506B" w:rsidRPr="000D59EA" w14:paraId="2E3C823B" w14:textId="77777777" w:rsidTr="00ED506B">
        <w:tc>
          <w:tcPr>
            <w:tcW w:w="2351" w:type="dxa"/>
            <w:vMerge/>
            <w:tcBorders>
              <w:top w:val="dotted" w:sz="4" w:space="0" w:color="auto"/>
              <w:bottom w:val="single" w:sz="4" w:space="0" w:color="000000"/>
            </w:tcBorders>
            <w:vAlign w:val="center"/>
          </w:tcPr>
          <w:p w14:paraId="4F27696D"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single" w:sz="4" w:space="0" w:color="000000" w:themeColor="text1"/>
              <w:right w:val="single" w:sz="4" w:space="0" w:color="000000" w:themeColor="text1"/>
            </w:tcBorders>
            <w:vAlign w:val="bottom"/>
          </w:tcPr>
          <w:p w14:paraId="3604606D" w14:textId="69B3CC5F" w:rsidR="00ED506B" w:rsidRPr="00ED506B" w:rsidRDefault="00ED506B" w:rsidP="0B34B54E">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po 2007 r.</w:t>
            </w:r>
          </w:p>
        </w:tc>
        <w:tc>
          <w:tcPr>
            <w:tcW w:w="1404" w:type="dxa"/>
            <w:tcBorders>
              <w:left w:val="single" w:sz="4" w:space="0" w:color="000000" w:themeColor="text1"/>
              <w:bottom w:val="single" w:sz="4" w:space="0" w:color="000000" w:themeColor="text1"/>
            </w:tcBorders>
          </w:tcPr>
          <w:p w14:paraId="60F409AA"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89 127</w:t>
            </w:r>
          </w:p>
        </w:tc>
        <w:tc>
          <w:tcPr>
            <w:tcW w:w="1173" w:type="dxa"/>
            <w:tcBorders>
              <w:bottom w:val="single" w:sz="4" w:space="0" w:color="000000" w:themeColor="text1"/>
            </w:tcBorders>
          </w:tcPr>
          <w:p w14:paraId="0D23B752" w14:textId="4AEC5F1F"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24</w:t>
            </w:r>
            <w:r w:rsidR="00F53CE2">
              <w:rPr>
                <w:sz w:val="20"/>
                <w:szCs w:val="20"/>
              </w:rPr>
              <w:t>,</w:t>
            </w:r>
            <w:r w:rsidRPr="00804BFA">
              <w:rPr>
                <w:sz w:val="20"/>
                <w:szCs w:val="20"/>
              </w:rPr>
              <w:t>5</w:t>
            </w:r>
          </w:p>
        </w:tc>
      </w:tr>
      <w:tr w:rsidR="00ED506B" w14:paraId="3301FE85" w14:textId="77777777" w:rsidTr="00961F49">
        <w:tc>
          <w:tcPr>
            <w:tcW w:w="2351" w:type="dxa"/>
            <w:vMerge w:val="restart"/>
            <w:tcBorders>
              <w:top w:val="single" w:sz="4" w:space="0" w:color="000000" w:themeColor="text1"/>
              <w:bottom w:val="dotted" w:sz="4" w:space="0" w:color="auto"/>
            </w:tcBorders>
            <w:vAlign w:val="center"/>
          </w:tcPr>
          <w:p w14:paraId="625CE92C" w14:textId="474C242F" w:rsidR="00ED506B" w:rsidRPr="00961B46" w:rsidRDefault="00ED506B" w:rsidP="00D000C6">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 xml:space="preserve">Domy </w:t>
            </w:r>
            <w:r>
              <w:rPr>
                <w:rFonts w:cs="Arial"/>
                <w:sz w:val="20"/>
                <w:szCs w:val="20"/>
                <w:lang w:val="pl-PL"/>
              </w:rPr>
              <w:t>wielorodzinne</w:t>
            </w:r>
            <w:r w:rsidRPr="00D000C6">
              <w:rPr>
                <w:rFonts w:cs="Arial"/>
                <w:sz w:val="20"/>
                <w:szCs w:val="20"/>
                <w:lang w:val="pl-PL"/>
              </w:rPr>
              <w:t xml:space="preserve"> z uwzględnieniem roku budowy</w:t>
            </w:r>
          </w:p>
        </w:tc>
        <w:tc>
          <w:tcPr>
            <w:tcW w:w="3871" w:type="dxa"/>
            <w:tcBorders>
              <w:top w:val="single" w:sz="4" w:space="0" w:color="000000" w:themeColor="text1"/>
              <w:bottom w:val="dotted" w:sz="4" w:space="0" w:color="auto"/>
              <w:right w:val="single" w:sz="4" w:space="0" w:color="000000" w:themeColor="text1"/>
            </w:tcBorders>
            <w:vAlign w:val="bottom"/>
          </w:tcPr>
          <w:p w14:paraId="216A31BA" w14:textId="4DB35250" w:rsidR="00ED506B" w:rsidRDefault="00ED506B" w:rsidP="00A30F4F">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404" w:type="dxa"/>
            <w:tcBorders>
              <w:top w:val="single" w:sz="4" w:space="0" w:color="000000" w:themeColor="text1"/>
              <w:left w:val="single" w:sz="4" w:space="0" w:color="000000" w:themeColor="text1"/>
              <w:bottom w:val="dotted" w:sz="4" w:space="0" w:color="auto"/>
            </w:tcBorders>
          </w:tcPr>
          <w:p w14:paraId="02025FE6"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763 249</w:t>
            </w:r>
          </w:p>
        </w:tc>
        <w:tc>
          <w:tcPr>
            <w:tcW w:w="1173" w:type="dxa"/>
            <w:tcBorders>
              <w:top w:val="single" w:sz="4" w:space="0" w:color="000000" w:themeColor="text1"/>
              <w:bottom w:val="dotted" w:sz="4" w:space="0" w:color="auto"/>
            </w:tcBorders>
          </w:tcPr>
          <w:p w14:paraId="3025BE4B" w14:textId="3FB7945A"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56</w:t>
            </w:r>
            <w:r w:rsidR="00F53CE2">
              <w:rPr>
                <w:sz w:val="20"/>
                <w:szCs w:val="20"/>
              </w:rPr>
              <w:t>,</w:t>
            </w:r>
            <w:r w:rsidRPr="00804BFA">
              <w:rPr>
                <w:sz w:val="20"/>
                <w:szCs w:val="20"/>
              </w:rPr>
              <w:t>9</w:t>
            </w:r>
          </w:p>
        </w:tc>
      </w:tr>
      <w:tr w:rsidR="00ED506B" w14:paraId="0E88AED4" w14:textId="77777777" w:rsidTr="00961F49">
        <w:tc>
          <w:tcPr>
            <w:tcW w:w="2351" w:type="dxa"/>
            <w:vMerge/>
            <w:tcBorders>
              <w:top w:val="dotted" w:sz="4" w:space="0" w:color="auto"/>
              <w:bottom w:val="dotted" w:sz="4" w:space="0" w:color="auto"/>
            </w:tcBorders>
            <w:vAlign w:val="center"/>
          </w:tcPr>
          <w:p w14:paraId="6E8DF26E"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569A560D" w14:textId="37EC7CF8" w:rsidR="00ED506B" w:rsidRDefault="00ED506B" w:rsidP="00A30F4F">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404" w:type="dxa"/>
            <w:tcBorders>
              <w:top w:val="dotted" w:sz="4" w:space="0" w:color="auto"/>
              <w:left w:val="single" w:sz="4" w:space="0" w:color="000000" w:themeColor="text1"/>
            </w:tcBorders>
          </w:tcPr>
          <w:p w14:paraId="79E426BB"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373 559</w:t>
            </w:r>
          </w:p>
        </w:tc>
        <w:tc>
          <w:tcPr>
            <w:tcW w:w="1173" w:type="dxa"/>
            <w:tcBorders>
              <w:top w:val="dotted" w:sz="4" w:space="0" w:color="auto"/>
            </w:tcBorders>
          </w:tcPr>
          <w:p w14:paraId="40AED75C" w14:textId="55FDC10A"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49</w:t>
            </w:r>
            <w:r w:rsidR="00F53CE2">
              <w:rPr>
                <w:sz w:val="20"/>
                <w:szCs w:val="20"/>
              </w:rPr>
              <w:t>,</w:t>
            </w:r>
            <w:r w:rsidRPr="00804BFA">
              <w:rPr>
                <w:sz w:val="20"/>
                <w:szCs w:val="20"/>
              </w:rPr>
              <w:t>3</w:t>
            </w:r>
          </w:p>
        </w:tc>
      </w:tr>
      <w:tr w:rsidR="00ED506B" w14:paraId="4FED764E" w14:textId="77777777" w:rsidTr="00961F49">
        <w:tc>
          <w:tcPr>
            <w:tcW w:w="2351" w:type="dxa"/>
            <w:vMerge/>
            <w:tcBorders>
              <w:top w:val="dotted" w:sz="4" w:space="0" w:color="auto"/>
              <w:bottom w:val="dotted" w:sz="4" w:space="0" w:color="auto"/>
            </w:tcBorders>
            <w:vAlign w:val="center"/>
          </w:tcPr>
          <w:p w14:paraId="2CA7BCA8"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39FD3101" w14:textId="6A49B50D" w:rsidR="00ED506B" w:rsidRDefault="00ED506B" w:rsidP="00A30F4F">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404" w:type="dxa"/>
            <w:tcBorders>
              <w:left w:val="single" w:sz="4" w:space="0" w:color="000000" w:themeColor="text1"/>
            </w:tcBorders>
          </w:tcPr>
          <w:p w14:paraId="414DC124"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1 240 823</w:t>
            </w:r>
          </w:p>
        </w:tc>
        <w:tc>
          <w:tcPr>
            <w:tcW w:w="1173" w:type="dxa"/>
          </w:tcPr>
          <w:p w14:paraId="5EF74A62" w14:textId="6ADA81E0"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44</w:t>
            </w:r>
            <w:r w:rsidR="00F53CE2">
              <w:rPr>
                <w:sz w:val="20"/>
                <w:szCs w:val="20"/>
              </w:rPr>
              <w:t>,</w:t>
            </w:r>
            <w:r w:rsidRPr="00804BFA">
              <w:rPr>
                <w:sz w:val="20"/>
                <w:szCs w:val="20"/>
              </w:rPr>
              <w:t>2</w:t>
            </w:r>
          </w:p>
        </w:tc>
      </w:tr>
      <w:tr w:rsidR="00ED506B" w14:paraId="70C94E0D" w14:textId="77777777" w:rsidTr="00961F49">
        <w:tc>
          <w:tcPr>
            <w:tcW w:w="2351" w:type="dxa"/>
            <w:vMerge/>
            <w:tcBorders>
              <w:top w:val="dotted" w:sz="4" w:space="0" w:color="auto"/>
              <w:bottom w:val="dotted" w:sz="4" w:space="0" w:color="auto"/>
            </w:tcBorders>
            <w:vAlign w:val="center"/>
          </w:tcPr>
          <w:p w14:paraId="63E06CF8"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33C14FBE" w14:textId="0C6FD1CC" w:rsidR="00ED506B" w:rsidRDefault="00ED506B" w:rsidP="00A30F4F">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404" w:type="dxa"/>
            <w:tcBorders>
              <w:left w:val="single" w:sz="4" w:space="0" w:color="000000" w:themeColor="text1"/>
            </w:tcBorders>
          </w:tcPr>
          <w:p w14:paraId="1A1D0A36"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563 945</w:t>
            </w:r>
          </w:p>
        </w:tc>
        <w:tc>
          <w:tcPr>
            <w:tcW w:w="1173" w:type="dxa"/>
          </w:tcPr>
          <w:p w14:paraId="671D7974" w14:textId="58F5DCBC"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37</w:t>
            </w:r>
            <w:r w:rsidR="00F53CE2">
              <w:rPr>
                <w:sz w:val="20"/>
                <w:szCs w:val="20"/>
              </w:rPr>
              <w:t>,</w:t>
            </w:r>
            <w:r w:rsidRPr="00804BFA">
              <w:rPr>
                <w:sz w:val="20"/>
                <w:szCs w:val="20"/>
              </w:rPr>
              <w:t>8</w:t>
            </w:r>
          </w:p>
        </w:tc>
      </w:tr>
      <w:tr w:rsidR="00ED506B" w14:paraId="367489F8" w14:textId="77777777" w:rsidTr="00961F49">
        <w:tc>
          <w:tcPr>
            <w:tcW w:w="2351" w:type="dxa"/>
            <w:vMerge/>
            <w:tcBorders>
              <w:top w:val="dotted" w:sz="4" w:space="0" w:color="auto"/>
              <w:bottom w:val="dotted" w:sz="4" w:space="0" w:color="auto"/>
            </w:tcBorders>
            <w:vAlign w:val="center"/>
          </w:tcPr>
          <w:p w14:paraId="75C42CAD"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01F2CE88" w14:textId="265F7419" w:rsidR="00ED506B" w:rsidRDefault="00ED506B" w:rsidP="00A30F4F">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404" w:type="dxa"/>
            <w:tcBorders>
              <w:left w:val="single" w:sz="4" w:space="0" w:color="000000" w:themeColor="text1"/>
              <w:bottom w:val="dotted" w:sz="4" w:space="0" w:color="auto"/>
            </w:tcBorders>
          </w:tcPr>
          <w:p w14:paraId="5AE9D740"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103 496</w:t>
            </w:r>
          </w:p>
        </w:tc>
        <w:tc>
          <w:tcPr>
            <w:tcW w:w="1173" w:type="dxa"/>
            <w:tcBorders>
              <w:bottom w:val="dotted" w:sz="4" w:space="0" w:color="auto"/>
            </w:tcBorders>
          </w:tcPr>
          <w:p w14:paraId="57F393A8" w14:textId="11F98761"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25</w:t>
            </w:r>
            <w:r w:rsidR="00F53CE2">
              <w:rPr>
                <w:sz w:val="20"/>
                <w:szCs w:val="20"/>
              </w:rPr>
              <w:t>,</w:t>
            </w:r>
            <w:r w:rsidRPr="00804BFA">
              <w:rPr>
                <w:sz w:val="20"/>
                <w:szCs w:val="20"/>
              </w:rPr>
              <w:t>4</w:t>
            </w:r>
          </w:p>
        </w:tc>
      </w:tr>
      <w:tr w:rsidR="00ED506B" w14:paraId="2233725F" w14:textId="77777777" w:rsidTr="00961F49">
        <w:tc>
          <w:tcPr>
            <w:tcW w:w="2351" w:type="dxa"/>
            <w:vMerge/>
            <w:tcBorders>
              <w:top w:val="dotted" w:sz="4" w:space="0" w:color="auto"/>
              <w:bottom w:val="single" w:sz="4" w:space="0" w:color="000000"/>
            </w:tcBorders>
            <w:vAlign w:val="center"/>
          </w:tcPr>
          <w:p w14:paraId="2FDDC530"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single" w:sz="4" w:space="0" w:color="000000" w:themeColor="text1"/>
              <w:right w:val="single" w:sz="4" w:space="0" w:color="000000" w:themeColor="text1"/>
            </w:tcBorders>
            <w:vAlign w:val="bottom"/>
          </w:tcPr>
          <w:p w14:paraId="69E290F6" w14:textId="082A6BC7" w:rsidR="00ED506B" w:rsidRDefault="00ED506B"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404" w:type="dxa"/>
            <w:tcBorders>
              <w:top w:val="dotted" w:sz="4" w:space="0" w:color="auto"/>
              <w:left w:val="single" w:sz="4" w:space="0" w:color="000000" w:themeColor="text1"/>
              <w:bottom w:val="single" w:sz="4" w:space="0" w:color="000000" w:themeColor="text1"/>
            </w:tcBorders>
          </w:tcPr>
          <w:p w14:paraId="33E014FE"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56 050</w:t>
            </w:r>
          </w:p>
        </w:tc>
        <w:tc>
          <w:tcPr>
            <w:tcW w:w="1173" w:type="dxa"/>
            <w:tcBorders>
              <w:top w:val="dotted" w:sz="4" w:space="0" w:color="auto"/>
              <w:bottom w:val="single" w:sz="4" w:space="0" w:color="000000" w:themeColor="text1"/>
            </w:tcBorders>
          </w:tcPr>
          <w:p w14:paraId="36923621" w14:textId="0EB03BF7"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11</w:t>
            </w:r>
            <w:r w:rsidR="00F53CE2">
              <w:rPr>
                <w:sz w:val="20"/>
                <w:szCs w:val="20"/>
              </w:rPr>
              <w:t>,</w:t>
            </w:r>
            <w:r w:rsidRPr="00804BFA">
              <w:rPr>
                <w:sz w:val="20"/>
                <w:szCs w:val="20"/>
              </w:rPr>
              <w:t>9</w:t>
            </w:r>
          </w:p>
        </w:tc>
      </w:tr>
      <w:tr w:rsidR="00ED506B" w14:paraId="484E699B" w14:textId="77777777" w:rsidTr="00961F49">
        <w:trPr>
          <w:trHeight w:val="181"/>
        </w:trPr>
        <w:tc>
          <w:tcPr>
            <w:tcW w:w="2351" w:type="dxa"/>
            <w:vMerge w:val="restart"/>
            <w:tcBorders>
              <w:top w:val="single" w:sz="4" w:space="0" w:color="000000" w:themeColor="text1"/>
            </w:tcBorders>
            <w:vAlign w:val="center"/>
          </w:tcPr>
          <w:p w14:paraId="2AB76CF2" w14:textId="751C1DF7" w:rsidR="00ED506B" w:rsidRPr="00D000C6" w:rsidRDefault="00ED506B">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Główne źródło utrzymania</w:t>
            </w:r>
          </w:p>
        </w:tc>
        <w:tc>
          <w:tcPr>
            <w:tcW w:w="3871" w:type="dxa"/>
            <w:tcBorders>
              <w:top w:val="single" w:sz="4" w:space="0" w:color="000000" w:themeColor="text1"/>
              <w:bottom w:val="dotted" w:sz="4" w:space="0" w:color="auto"/>
              <w:right w:val="single" w:sz="4" w:space="0" w:color="000000" w:themeColor="text1"/>
            </w:tcBorders>
            <w:vAlign w:val="bottom"/>
          </w:tcPr>
          <w:p w14:paraId="59DB4FDC" w14:textId="2BF3E9E6" w:rsidR="00ED506B" w:rsidRPr="00ED506B" w:rsidRDefault="00ED506B" w:rsidP="00A30F4F">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robotniczym</w:t>
            </w:r>
          </w:p>
        </w:tc>
        <w:tc>
          <w:tcPr>
            <w:tcW w:w="1404" w:type="dxa"/>
            <w:tcBorders>
              <w:top w:val="single" w:sz="4" w:space="0" w:color="000000" w:themeColor="text1"/>
              <w:left w:val="single" w:sz="4" w:space="0" w:color="000000" w:themeColor="text1"/>
            </w:tcBorders>
          </w:tcPr>
          <w:p w14:paraId="4D93A3DB"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1 541 588</w:t>
            </w:r>
          </w:p>
        </w:tc>
        <w:tc>
          <w:tcPr>
            <w:tcW w:w="1173" w:type="dxa"/>
            <w:tcBorders>
              <w:top w:val="single" w:sz="4" w:space="0" w:color="000000" w:themeColor="text1"/>
            </w:tcBorders>
          </w:tcPr>
          <w:p w14:paraId="3401E8D8" w14:textId="06698EDC"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45</w:t>
            </w:r>
            <w:r w:rsidR="00F53CE2">
              <w:rPr>
                <w:sz w:val="20"/>
                <w:szCs w:val="20"/>
              </w:rPr>
              <w:t>,</w:t>
            </w:r>
            <w:r w:rsidRPr="00804BFA">
              <w:rPr>
                <w:sz w:val="20"/>
                <w:szCs w:val="20"/>
              </w:rPr>
              <w:t>8</w:t>
            </w:r>
          </w:p>
        </w:tc>
      </w:tr>
      <w:tr w:rsidR="00ED506B" w14:paraId="0B5E09CA" w14:textId="77777777" w:rsidTr="00961F49">
        <w:tc>
          <w:tcPr>
            <w:tcW w:w="2351" w:type="dxa"/>
            <w:vMerge/>
            <w:vAlign w:val="center"/>
          </w:tcPr>
          <w:p w14:paraId="03362F90"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50CB4908" w14:textId="6CBF9F09" w:rsidR="00ED506B" w:rsidRPr="00ED506B" w:rsidRDefault="00ED506B" w:rsidP="00A30F4F">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nierobotniczym</w:t>
            </w:r>
          </w:p>
        </w:tc>
        <w:tc>
          <w:tcPr>
            <w:tcW w:w="1404" w:type="dxa"/>
            <w:tcBorders>
              <w:left w:val="single" w:sz="4" w:space="0" w:color="000000" w:themeColor="text1"/>
            </w:tcBorders>
          </w:tcPr>
          <w:p w14:paraId="21BD87B6"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820 367</w:t>
            </w:r>
          </w:p>
        </w:tc>
        <w:tc>
          <w:tcPr>
            <w:tcW w:w="1173" w:type="dxa"/>
          </w:tcPr>
          <w:p w14:paraId="7F0C0663" w14:textId="2C5865E2"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23</w:t>
            </w:r>
            <w:r w:rsidR="00F53CE2">
              <w:rPr>
                <w:sz w:val="20"/>
                <w:szCs w:val="20"/>
              </w:rPr>
              <w:t>,</w:t>
            </w:r>
            <w:r w:rsidRPr="00804BFA">
              <w:rPr>
                <w:sz w:val="20"/>
                <w:szCs w:val="20"/>
              </w:rPr>
              <w:t>6</w:t>
            </w:r>
          </w:p>
        </w:tc>
      </w:tr>
      <w:tr w:rsidR="00ED506B" w14:paraId="64A7DEBD" w14:textId="77777777" w:rsidTr="00961F49">
        <w:tc>
          <w:tcPr>
            <w:tcW w:w="2351" w:type="dxa"/>
            <w:vMerge/>
            <w:vAlign w:val="center"/>
          </w:tcPr>
          <w:p w14:paraId="31AA4D98"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6D6F976F" w14:textId="3ACA158F" w:rsidR="00ED506B" w:rsidRPr="00ED506B" w:rsidRDefault="00ED506B" w:rsidP="00A30F4F">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użytkowanie gospodarstwa rolnego</w:t>
            </w:r>
          </w:p>
        </w:tc>
        <w:tc>
          <w:tcPr>
            <w:tcW w:w="1404" w:type="dxa"/>
            <w:tcBorders>
              <w:left w:val="single" w:sz="4" w:space="0" w:color="000000" w:themeColor="text1"/>
            </w:tcBorders>
          </w:tcPr>
          <w:p w14:paraId="6D1167A5"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279 899</w:t>
            </w:r>
          </w:p>
        </w:tc>
        <w:tc>
          <w:tcPr>
            <w:tcW w:w="1173" w:type="dxa"/>
          </w:tcPr>
          <w:p w14:paraId="4FC21B8D" w14:textId="547D6E93"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48</w:t>
            </w:r>
            <w:r w:rsidR="00F53CE2">
              <w:rPr>
                <w:sz w:val="20"/>
                <w:szCs w:val="20"/>
              </w:rPr>
              <w:t>,</w:t>
            </w:r>
            <w:r w:rsidRPr="00804BFA">
              <w:rPr>
                <w:sz w:val="20"/>
                <w:szCs w:val="20"/>
              </w:rPr>
              <w:t>7</w:t>
            </w:r>
          </w:p>
        </w:tc>
      </w:tr>
      <w:tr w:rsidR="00ED506B" w14:paraId="3A35E7FF" w14:textId="77777777" w:rsidTr="00961F49">
        <w:tc>
          <w:tcPr>
            <w:tcW w:w="2351" w:type="dxa"/>
            <w:vMerge/>
            <w:vAlign w:val="center"/>
          </w:tcPr>
          <w:p w14:paraId="1718F5CB"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339A2D43" w14:textId="0F29C387" w:rsidR="00ED506B" w:rsidRPr="00ED506B" w:rsidRDefault="00ED506B" w:rsidP="00A30F4F">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 własny rachunek</w:t>
            </w:r>
          </w:p>
        </w:tc>
        <w:tc>
          <w:tcPr>
            <w:tcW w:w="1404" w:type="dxa"/>
            <w:tcBorders>
              <w:left w:val="single" w:sz="4" w:space="0" w:color="000000" w:themeColor="text1"/>
            </w:tcBorders>
          </w:tcPr>
          <w:p w14:paraId="3CC725E0"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272 715</w:t>
            </w:r>
          </w:p>
        </w:tc>
        <w:tc>
          <w:tcPr>
            <w:tcW w:w="1173" w:type="dxa"/>
          </w:tcPr>
          <w:p w14:paraId="3F04E79A" w14:textId="26A57986"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30</w:t>
            </w:r>
            <w:r w:rsidR="00F53CE2">
              <w:rPr>
                <w:sz w:val="20"/>
                <w:szCs w:val="20"/>
              </w:rPr>
              <w:t>,</w:t>
            </w:r>
            <w:r w:rsidRPr="00804BFA">
              <w:rPr>
                <w:sz w:val="20"/>
                <w:szCs w:val="20"/>
              </w:rPr>
              <w:t>5</w:t>
            </w:r>
          </w:p>
        </w:tc>
      </w:tr>
      <w:tr w:rsidR="00ED506B" w14:paraId="171E5119" w14:textId="77777777" w:rsidTr="00ED506B">
        <w:trPr>
          <w:trHeight w:val="507"/>
        </w:trPr>
        <w:tc>
          <w:tcPr>
            <w:tcW w:w="2351" w:type="dxa"/>
            <w:vMerge/>
            <w:tcBorders>
              <w:bottom w:val="single" w:sz="4" w:space="0" w:color="000000"/>
            </w:tcBorders>
            <w:vAlign w:val="center"/>
          </w:tcPr>
          <w:p w14:paraId="4111EE70" w14:textId="77777777" w:rsidR="00ED506B" w:rsidRDefault="00ED506B" w:rsidP="00A30F4F">
            <w:pPr>
              <w:autoSpaceDE w:val="0"/>
              <w:autoSpaceDN w:val="0"/>
              <w:adjustRightInd w:val="0"/>
              <w:spacing w:after="0" w:line="276" w:lineRule="auto"/>
              <w:jc w:val="center"/>
              <w:rPr>
                <w:rFonts w:cs="Arial"/>
                <w:sz w:val="20"/>
                <w:szCs w:val="20"/>
                <w:lang w:val="en-GB"/>
              </w:rPr>
            </w:pPr>
          </w:p>
        </w:tc>
        <w:tc>
          <w:tcPr>
            <w:tcW w:w="3871" w:type="dxa"/>
            <w:tcBorders>
              <w:top w:val="dotted" w:sz="4" w:space="0" w:color="auto"/>
              <w:bottom w:val="dotted" w:sz="4" w:space="0" w:color="auto"/>
              <w:right w:val="single" w:sz="4" w:space="0" w:color="000000" w:themeColor="text1"/>
            </w:tcBorders>
            <w:vAlign w:val="bottom"/>
          </w:tcPr>
          <w:p w14:paraId="67F51F7E" w14:textId="14CA3E5E" w:rsidR="00ED506B" w:rsidRPr="00ED506B" w:rsidRDefault="00ED506B" w:rsidP="00A30F4F">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emerytura, renta lub inne niezarobkowe źródło</w:t>
            </w:r>
          </w:p>
        </w:tc>
        <w:tc>
          <w:tcPr>
            <w:tcW w:w="1404" w:type="dxa"/>
            <w:tcBorders>
              <w:left w:val="single" w:sz="4" w:space="0" w:color="000000" w:themeColor="text1"/>
            </w:tcBorders>
          </w:tcPr>
          <w:p w14:paraId="41C618B0" w14:textId="77777777" w:rsidR="00ED506B" w:rsidRPr="00804BFA" w:rsidRDefault="00ED506B" w:rsidP="00A30F4F">
            <w:pPr>
              <w:autoSpaceDE w:val="0"/>
              <w:autoSpaceDN w:val="0"/>
              <w:adjustRightInd w:val="0"/>
              <w:spacing w:after="0" w:line="276" w:lineRule="auto"/>
              <w:jc w:val="center"/>
              <w:rPr>
                <w:rFonts w:cs="Arial"/>
                <w:sz w:val="20"/>
                <w:szCs w:val="20"/>
                <w:lang w:val="en-GB"/>
              </w:rPr>
            </w:pPr>
            <w:r w:rsidRPr="00804BFA">
              <w:rPr>
                <w:sz w:val="20"/>
                <w:szCs w:val="20"/>
              </w:rPr>
              <w:t>3 304 893</w:t>
            </w:r>
          </w:p>
        </w:tc>
        <w:tc>
          <w:tcPr>
            <w:tcW w:w="1173" w:type="dxa"/>
          </w:tcPr>
          <w:p w14:paraId="67ADF1B3" w14:textId="22393C2A" w:rsidR="00ED506B" w:rsidRPr="00804BFA" w:rsidRDefault="00ED506B">
            <w:pPr>
              <w:autoSpaceDE w:val="0"/>
              <w:autoSpaceDN w:val="0"/>
              <w:adjustRightInd w:val="0"/>
              <w:spacing w:after="0" w:line="276" w:lineRule="auto"/>
              <w:jc w:val="center"/>
              <w:rPr>
                <w:rFonts w:cs="Arial"/>
                <w:sz w:val="20"/>
                <w:szCs w:val="20"/>
                <w:lang w:val="en-GB"/>
              </w:rPr>
            </w:pPr>
            <w:r w:rsidRPr="00804BFA">
              <w:rPr>
                <w:sz w:val="20"/>
                <w:szCs w:val="20"/>
              </w:rPr>
              <w:t>66</w:t>
            </w:r>
            <w:r w:rsidR="00F53CE2">
              <w:rPr>
                <w:sz w:val="20"/>
                <w:szCs w:val="20"/>
              </w:rPr>
              <w:t>,</w:t>
            </w:r>
            <w:r w:rsidRPr="00804BFA">
              <w:rPr>
                <w:sz w:val="20"/>
                <w:szCs w:val="20"/>
              </w:rPr>
              <w:t>3</w:t>
            </w:r>
          </w:p>
        </w:tc>
      </w:tr>
    </w:tbl>
    <w:p w14:paraId="6DDDC3CD" w14:textId="77777777" w:rsidR="00EB65FB" w:rsidRDefault="00EB65FB" w:rsidP="00EB65FB">
      <w:pPr>
        <w:autoSpaceDE w:val="0"/>
        <w:autoSpaceDN w:val="0"/>
        <w:adjustRightInd w:val="0"/>
        <w:spacing w:after="0" w:line="276" w:lineRule="auto"/>
        <w:rPr>
          <w:rFonts w:cs="Arial"/>
          <w:b/>
          <w:sz w:val="20"/>
          <w:szCs w:val="20"/>
          <w:lang w:val="en-GB"/>
        </w:rPr>
      </w:pPr>
    </w:p>
    <w:p w14:paraId="60C26F38" w14:textId="28A30D17" w:rsidR="00740D8A" w:rsidRPr="00D000C6" w:rsidRDefault="00D000C6" w:rsidP="003E5930">
      <w:pPr>
        <w:autoSpaceDE w:val="0"/>
        <w:autoSpaceDN w:val="0"/>
        <w:adjustRightInd w:val="0"/>
        <w:spacing w:after="0" w:line="276" w:lineRule="auto"/>
        <w:rPr>
          <w:b/>
          <w:sz w:val="20"/>
          <w:szCs w:val="20"/>
        </w:rPr>
      </w:pPr>
      <w:r w:rsidRPr="00D000C6">
        <w:rPr>
          <w:b/>
          <w:sz w:val="20"/>
          <w:szCs w:val="20"/>
        </w:rPr>
        <w:t xml:space="preserve">Wykres </w:t>
      </w:r>
      <w:r w:rsidR="00F53CE2">
        <w:rPr>
          <w:b/>
          <w:sz w:val="20"/>
          <w:szCs w:val="20"/>
        </w:rPr>
        <w:t>3</w:t>
      </w:r>
      <w:r w:rsidRPr="00D000C6">
        <w:rPr>
          <w:b/>
          <w:sz w:val="20"/>
          <w:szCs w:val="20"/>
        </w:rPr>
        <w:t xml:space="preserve"> Szeregi czasowe skorygowanego zestawu wskaźników ubóstwa energetycznego według udziału gospodarstw domowych [%] zidentyfikowanych jako ubogie energetycznie w latach 2012 - 2016</w:t>
      </w:r>
    </w:p>
    <w:p w14:paraId="71027E89" w14:textId="44B20DD0" w:rsidR="00EB65FB" w:rsidRDefault="00BC6FBB" w:rsidP="003E5930">
      <w:pPr>
        <w:autoSpaceDE w:val="0"/>
        <w:autoSpaceDN w:val="0"/>
        <w:adjustRightInd w:val="0"/>
        <w:spacing w:after="0" w:line="276" w:lineRule="auto"/>
        <w:rPr>
          <w:rFonts w:cs="Arial"/>
          <w:b/>
          <w:sz w:val="20"/>
          <w:szCs w:val="20"/>
          <w:lang w:val="en-GB"/>
        </w:rPr>
      </w:pPr>
      <w:r>
        <w:rPr>
          <w:noProof/>
          <w:lang w:eastAsia="pl-PL"/>
        </w:rPr>
        <w:drawing>
          <wp:inline distT="0" distB="0" distL="0" distR="0" wp14:anchorId="7DC8C597" wp14:editId="3A83F536">
            <wp:extent cx="5593715" cy="2739390"/>
            <wp:effectExtent l="0" t="0" r="6985" b="3810"/>
            <wp:docPr id="7" name="Wykres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B8461B8" w14:textId="2AF0F362" w:rsidR="00596070" w:rsidRPr="00D000C6" w:rsidRDefault="00D000C6" w:rsidP="00D000C6">
      <w:pPr>
        <w:autoSpaceDE w:val="0"/>
        <w:autoSpaceDN w:val="0"/>
        <w:adjustRightInd w:val="0"/>
        <w:spacing w:after="0" w:line="276" w:lineRule="auto"/>
        <w:jc w:val="both"/>
        <w:rPr>
          <w:sz w:val="20"/>
          <w:szCs w:val="20"/>
        </w:rPr>
      </w:pPr>
      <w:r w:rsidRPr="00D000C6">
        <w:rPr>
          <w:sz w:val="20"/>
          <w:szCs w:val="20"/>
        </w:rPr>
        <w:t xml:space="preserve">Wskaźniki zapewniają spójny opis ubóstwa energetycznego w Polsce. Większość wskaźników wykazuje spadkową tendencję w czasie, z wyjątkiem </w:t>
      </w:r>
      <w:r w:rsidRPr="00F53CE2">
        <w:rPr>
          <w:sz w:val="20"/>
          <w:szCs w:val="20"/>
        </w:rPr>
        <w:t>Ukrytego ubóstwa energetycznego.</w:t>
      </w:r>
    </w:p>
    <w:p w14:paraId="637E116A" w14:textId="52E6CEE0" w:rsidR="00B36864" w:rsidRDefault="00D000C6" w:rsidP="00B36864">
      <w:pPr>
        <w:autoSpaceDE w:val="0"/>
        <w:autoSpaceDN w:val="0"/>
        <w:adjustRightInd w:val="0"/>
        <w:spacing w:after="0" w:line="276" w:lineRule="auto"/>
        <w:jc w:val="both"/>
        <w:rPr>
          <w:b/>
          <w:sz w:val="20"/>
          <w:szCs w:val="20"/>
        </w:rPr>
      </w:pPr>
      <w:r w:rsidRPr="00D000C6">
        <w:rPr>
          <w:b/>
          <w:sz w:val="20"/>
          <w:szCs w:val="20"/>
        </w:rPr>
        <w:t xml:space="preserve">Wykres </w:t>
      </w:r>
      <w:r w:rsidR="00F53CE2">
        <w:rPr>
          <w:b/>
          <w:sz w:val="20"/>
          <w:szCs w:val="20"/>
        </w:rPr>
        <w:t>4</w:t>
      </w:r>
      <w:r w:rsidRPr="00D000C6">
        <w:rPr>
          <w:b/>
          <w:sz w:val="20"/>
          <w:szCs w:val="20"/>
        </w:rPr>
        <w:t xml:space="preserve"> Podsumowanie skorygowanego zestawu wskaźników ubóstwa energetycznego według udziału gospodarstw domowych [%] zidentyfikowanych jako ubogie energetycznie w 2016 r</w:t>
      </w:r>
      <w:r>
        <w:rPr>
          <w:b/>
          <w:sz w:val="20"/>
          <w:szCs w:val="20"/>
        </w:rPr>
        <w:t>.</w:t>
      </w:r>
    </w:p>
    <w:p w14:paraId="32C0640E" w14:textId="77777777" w:rsidR="00B36864" w:rsidRDefault="00D849C0" w:rsidP="00B36864">
      <w:pPr>
        <w:autoSpaceDE w:val="0"/>
        <w:autoSpaceDN w:val="0"/>
        <w:adjustRightInd w:val="0"/>
        <w:spacing w:after="0" w:line="276" w:lineRule="auto"/>
        <w:jc w:val="both"/>
        <w:rPr>
          <w:sz w:val="20"/>
          <w:szCs w:val="20"/>
          <w:lang w:val="en-GB"/>
        </w:rPr>
      </w:pPr>
      <w:r>
        <w:rPr>
          <w:noProof/>
          <w:lang w:eastAsia="pl-PL"/>
        </w:rPr>
        <w:drawing>
          <wp:inline distT="0" distB="0" distL="0" distR="0" wp14:anchorId="5EFD9EF9" wp14:editId="20E2FA7F">
            <wp:extent cx="5429250" cy="2781300"/>
            <wp:effectExtent l="0" t="0" r="0" b="0"/>
            <wp:docPr id="14" name="Wykres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250E138D" w14:textId="115E2B29" w:rsidR="00B36864" w:rsidRPr="00B36864" w:rsidRDefault="00B36864" w:rsidP="00B36864">
      <w:pPr>
        <w:autoSpaceDE w:val="0"/>
        <w:autoSpaceDN w:val="0"/>
        <w:adjustRightInd w:val="0"/>
        <w:spacing w:after="0" w:line="276" w:lineRule="auto"/>
        <w:jc w:val="both"/>
        <w:rPr>
          <w:sz w:val="20"/>
          <w:szCs w:val="20"/>
        </w:rPr>
      </w:pPr>
      <w:r w:rsidRPr="00B36864">
        <w:rPr>
          <w:sz w:val="20"/>
          <w:szCs w:val="20"/>
        </w:rPr>
        <w:t xml:space="preserve">Dwa wskaźniki, </w:t>
      </w:r>
      <w:r w:rsidRPr="00B36864">
        <w:rPr>
          <w:rFonts w:cs="Arial"/>
          <w:b/>
          <w:sz w:val="20"/>
          <w:szCs w:val="20"/>
        </w:rPr>
        <w:t>Podwójna mediana wydatków na energię</w:t>
      </w:r>
      <w:r w:rsidRPr="00B36864">
        <w:rPr>
          <w:sz w:val="20"/>
          <w:szCs w:val="20"/>
        </w:rPr>
        <w:t xml:space="preserve"> i </w:t>
      </w:r>
      <w:r w:rsidR="00C97D16" w:rsidRPr="00C97D16">
        <w:rPr>
          <w:rFonts w:cs="Arial"/>
          <w:b/>
          <w:sz w:val="20"/>
          <w:szCs w:val="20"/>
        </w:rPr>
        <w:t>Ukryte ubóstwo energetyczne</w:t>
      </w:r>
      <w:r w:rsidRPr="00B36864">
        <w:rPr>
          <w:sz w:val="20"/>
          <w:szCs w:val="20"/>
        </w:rPr>
        <w:t>, wskazują znacznie wyższy udział</w:t>
      </w:r>
      <w:r w:rsidR="00C97D16">
        <w:rPr>
          <w:sz w:val="20"/>
          <w:szCs w:val="20"/>
        </w:rPr>
        <w:t xml:space="preserve"> ubogich energetycznie</w:t>
      </w:r>
      <w:r w:rsidRPr="00B36864">
        <w:rPr>
          <w:sz w:val="20"/>
          <w:szCs w:val="20"/>
        </w:rPr>
        <w:t xml:space="preserve"> gospodarstw domowych niż inne wskaźniki. </w:t>
      </w:r>
      <w:r w:rsidR="00C97D16" w:rsidRPr="00C97D16">
        <w:rPr>
          <w:rFonts w:cs="Arial"/>
          <w:b/>
          <w:sz w:val="20"/>
          <w:szCs w:val="20"/>
        </w:rPr>
        <w:t>Zdolność do terminowego opłacania rachunków</w:t>
      </w:r>
      <w:r w:rsidRPr="00C97D16">
        <w:rPr>
          <w:b/>
          <w:sz w:val="20"/>
          <w:szCs w:val="20"/>
        </w:rPr>
        <w:t xml:space="preserve"> </w:t>
      </w:r>
      <w:r w:rsidRPr="00B36864">
        <w:rPr>
          <w:sz w:val="20"/>
          <w:szCs w:val="20"/>
        </w:rPr>
        <w:t xml:space="preserve">sygnalizuje niższy udział ubóstwa energetycznego w Polsce niż inne </w:t>
      </w:r>
      <w:r w:rsidR="00C97D16">
        <w:rPr>
          <w:sz w:val="20"/>
          <w:szCs w:val="20"/>
        </w:rPr>
        <w:t>wskaźniki</w:t>
      </w:r>
      <w:r w:rsidRPr="00B36864">
        <w:rPr>
          <w:sz w:val="20"/>
          <w:szCs w:val="20"/>
        </w:rPr>
        <w:t xml:space="preserve">. Podsumowanie jest przedstawione na </w:t>
      </w:r>
      <w:r w:rsidR="00C97D16">
        <w:rPr>
          <w:sz w:val="20"/>
          <w:szCs w:val="20"/>
        </w:rPr>
        <w:t>wykresie</w:t>
      </w:r>
      <w:r w:rsidR="00F53CE2">
        <w:rPr>
          <w:sz w:val="20"/>
          <w:szCs w:val="20"/>
        </w:rPr>
        <w:t xml:space="preserve"> 4</w:t>
      </w:r>
      <w:r w:rsidR="00C97D16">
        <w:rPr>
          <w:sz w:val="20"/>
          <w:szCs w:val="20"/>
        </w:rPr>
        <w:t>,</w:t>
      </w:r>
      <w:r w:rsidRPr="00B36864">
        <w:rPr>
          <w:sz w:val="20"/>
          <w:szCs w:val="20"/>
        </w:rPr>
        <w:t xml:space="preserve"> a szczegółowa analiza statystyk poszczególnych wskaźników zostanie omówiona w dalszej części dokumentu.</w:t>
      </w:r>
    </w:p>
    <w:p w14:paraId="0F221BC0" w14:textId="77777777" w:rsidR="009B0F5B" w:rsidRPr="00961B46" w:rsidRDefault="009B0F5B" w:rsidP="003E5930">
      <w:pPr>
        <w:autoSpaceDE w:val="0"/>
        <w:autoSpaceDN w:val="0"/>
        <w:adjustRightInd w:val="0"/>
        <w:spacing w:after="0" w:line="276" w:lineRule="auto"/>
        <w:rPr>
          <w:b/>
          <w:sz w:val="20"/>
          <w:szCs w:val="20"/>
        </w:rPr>
      </w:pPr>
    </w:p>
    <w:p w14:paraId="3595947B" w14:textId="79D4F323" w:rsidR="009C35C7" w:rsidRDefault="00C97D16" w:rsidP="00C97D16">
      <w:pPr>
        <w:autoSpaceDE w:val="0"/>
        <w:autoSpaceDN w:val="0"/>
        <w:adjustRightInd w:val="0"/>
        <w:spacing w:after="0" w:line="276" w:lineRule="auto"/>
        <w:jc w:val="both"/>
        <w:rPr>
          <w:b/>
          <w:sz w:val="20"/>
          <w:szCs w:val="20"/>
        </w:rPr>
      </w:pPr>
      <w:r w:rsidRPr="00C97D16">
        <w:rPr>
          <w:b/>
          <w:sz w:val="20"/>
          <w:szCs w:val="20"/>
        </w:rPr>
        <w:t xml:space="preserve">Wykres </w:t>
      </w:r>
      <w:r w:rsidR="00F53CE2">
        <w:rPr>
          <w:b/>
          <w:sz w:val="20"/>
          <w:szCs w:val="20"/>
        </w:rPr>
        <w:t>5</w:t>
      </w:r>
      <w:r w:rsidRPr="00C97D16">
        <w:rPr>
          <w:b/>
          <w:sz w:val="20"/>
          <w:szCs w:val="20"/>
        </w:rPr>
        <w:t xml:space="preserve"> Zestawienie wskaźników ubóstwa energetycznego według udziału gospodarstw domowych [%] zidentyfikowanych jako ubogie energetycznie w 2016 r. </w:t>
      </w:r>
      <w:r>
        <w:rPr>
          <w:b/>
          <w:sz w:val="20"/>
          <w:szCs w:val="20"/>
        </w:rPr>
        <w:t>zamieszkujących</w:t>
      </w:r>
      <w:r w:rsidRPr="00C97D16">
        <w:rPr>
          <w:b/>
          <w:sz w:val="20"/>
          <w:szCs w:val="20"/>
        </w:rPr>
        <w:t xml:space="preserve"> domy jednorodzinne lub wielorodzinne</w:t>
      </w:r>
    </w:p>
    <w:p w14:paraId="0CAF1703" w14:textId="1ACEE736" w:rsidR="00071948" w:rsidRPr="00C97D16" w:rsidRDefault="00071948" w:rsidP="00C97D16">
      <w:pPr>
        <w:autoSpaceDE w:val="0"/>
        <w:autoSpaceDN w:val="0"/>
        <w:adjustRightInd w:val="0"/>
        <w:spacing w:after="0" w:line="276" w:lineRule="auto"/>
        <w:jc w:val="both"/>
        <w:rPr>
          <w:rFonts w:cs="Arial"/>
          <w:b/>
          <w:sz w:val="20"/>
          <w:szCs w:val="20"/>
        </w:rPr>
      </w:pPr>
      <w:r>
        <w:rPr>
          <w:noProof/>
          <w:lang w:eastAsia="pl-PL"/>
        </w:rPr>
        <w:drawing>
          <wp:inline distT="0" distB="0" distL="0" distR="0" wp14:anchorId="0E88BC2A" wp14:editId="29953E26">
            <wp:extent cx="5545455" cy="2660438"/>
            <wp:effectExtent l="0" t="0" r="0" b="6985"/>
            <wp:docPr id="13" name="Wykres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EB0964E" w14:textId="5B3DF279" w:rsidR="00D849C0" w:rsidRPr="00C97D16" w:rsidRDefault="00C97D16" w:rsidP="00C97D16">
      <w:pPr>
        <w:autoSpaceDE w:val="0"/>
        <w:autoSpaceDN w:val="0"/>
        <w:adjustRightInd w:val="0"/>
        <w:spacing w:after="0" w:line="276" w:lineRule="auto"/>
        <w:jc w:val="both"/>
        <w:rPr>
          <w:rFonts w:cs="Arial"/>
          <w:sz w:val="20"/>
          <w:szCs w:val="20"/>
        </w:rPr>
      </w:pPr>
      <w:r w:rsidRPr="00C97D16">
        <w:rPr>
          <w:rFonts w:cs="Arial"/>
          <w:sz w:val="20"/>
          <w:szCs w:val="20"/>
        </w:rPr>
        <w:t>Ubóstwo energetyczne jest wyższe w gospodarstwach domowych zajmujących domy jednorodzinne (szczegółowa analiza</w:t>
      </w:r>
      <w:r w:rsidR="00F44B3D">
        <w:rPr>
          <w:rFonts w:cs="Arial"/>
          <w:sz w:val="20"/>
          <w:szCs w:val="20"/>
        </w:rPr>
        <w:t xml:space="preserve"> ubóstwa energetycznego w Polsce z uwzględnieniem typów budynków</w:t>
      </w:r>
      <w:r w:rsidRPr="00C97D16">
        <w:rPr>
          <w:rFonts w:cs="Arial"/>
          <w:sz w:val="20"/>
          <w:szCs w:val="20"/>
        </w:rPr>
        <w:t xml:space="preserve">, patrz Lewandowski et al., 2018). </w:t>
      </w:r>
      <w:r>
        <w:rPr>
          <w:rFonts w:cs="Arial"/>
          <w:sz w:val="20"/>
          <w:szCs w:val="20"/>
        </w:rPr>
        <w:t>Jednak, d</w:t>
      </w:r>
      <w:r w:rsidRPr="00C97D16">
        <w:rPr>
          <w:rFonts w:cs="Arial"/>
          <w:sz w:val="20"/>
          <w:szCs w:val="20"/>
        </w:rPr>
        <w:t xml:space="preserve">wa wskaźniki </w:t>
      </w:r>
      <w:r>
        <w:rPr>
          <w:rFonts w:cs="Arial"/>
          <w:sz w:val="20"/>
          <w:szCs w:val="20"/>
        </w:rPr>
        <w:t>oparte o samoocenę</w:t>
      </w:r>
      <w:r w:rsidRPr="00C97D16">
        <w:rPr>
          <w:rFonts w:cs="Arial"/>
          <w:sz w:val="20"/>
          <w:szCs w:val="20"/>
        </w:rPr>
        <w:t xml:space="preserve">, </w:t>
      </w:r>
      <w:r w:rsidRPr="00C97D16">
        <w:rPr>
          <w:rFonts w:cs="Arial"/>
          <w:b/>
          <w:sz w:val="20"/>
          <w:szCs w:val="20"/>
        </w:rPr>
        <w:t>Zdolność do terminowego opłacania rachunków</w:t>
      </w:r>
      <w:r w:rsidRPr="00C97D16">
        <w:rPr>
          <w:rFonts w:cs="Arial"/>
          <w:sz w:val="20"/>
          <w:szCs w:val="20"/>
        </w:rPr>
        <w:t xml:space="preserve"> oraz </w:t>
      </w:r>
      <w:r w:rsidRPr="00C97D16">
        <w:rPr>
          <w:rFonts w:cs="Arial"/>
          <w:b/>
          <w:sz w:val="20"/>
          <w:szCs w:val="20"/>
        </w:rPr>
        <w:t>Niewystarczający komfort cieplny</w:t>
      </w:r>
      <w:r w:rsidRPr="00C97D16">
        <w:rPr>
          <w:rFonts w:cs="Arial"/>
          <w:sz w:val="20"/>
          <w:szCs w:val="20"/>
        </w:rPr>
        <w:t xml:space="preserve"> wskazują na większ</w:t>
      </w:r>
      <w:r>
        <w:rPr>
          <w:rFonts w:cs="Arial"/>
          <w:sz w:val="20"/>
          <w:szCs w:val="20"/>
        </w:rPr>
        <w:t>y</w:t>
      </w:r>
      <w:r w:rsidRPr="00C97D16">
        <w:rPr>
          <w:rFonts w:cs="Arial"/>
          <w:sz w:val="20"/>
          <w:szCs w:val="20"/>
        </w:rPr>
        <w:t xml:space="preserve"> </w:t>
      </w:r>
      <w:r>
        <w:rPr>
          <w:rFonts w:cs="Arial"/>
          <w:sz w:val="20"/>
          <w:szCs w:val="20"/>
        </w:rPr>
        <w:t xml:space="preserve">udział </w:t>
      </w:r>
      <w:r w:rsidRPr="00C97D16">
        <w:rPr>
          <w:rFonts w:cs="Arial"/>
          <w:sz w:val="20"/>
          <w:szCs w:val="20"/>
        </w:rPr>
        <w:t>ubóstwa energetycznego wśród gospodarstw domowych zajmujących budynki wielorodzinne.</w:t>
      </w:r>
    </w:p>
    <w:p w14:paraId="3F2ECCCC" w14:textId="77777777" w:rsidR="00B01409" w:rsidRPr="00961B46" w:rsidRDefault="00B01409" w:rsidP="003E5930">
      <w:pPr>
        <w:autoSpaceDE w:val="0"/>
        <w:autoSpaceDN w:val="0"/>
        <w:adjustRightInd w:val="0"/>
        <w:spacing w:after="0" w:line="276" w:lineRule="auto"/>
        <w:rPr>
          <w:rFonts w:cs="Arial"/>
          <w:sz w:val="20"/>
          <w:szCs w:val="20"/>
        </w:rPr>
      </w:pPr>
    </w:p>
    <w:p w14:paraId="5CF5A631" w14:textId="541CA8D7" w:rsidR="00071948" w:rsidRDefault="00C97D16" w:rsidP="003E5930">
      <w:pPr>
        <w:autoSpaceDE w:val="0"/>
        <w:autoSpaceDN w:val="0"/>
        <w:adjustRightInd w:val="0"/>
        <w:spacing w:after="0" w:line="276" w:lineRule="auto"/>
        <w:rPr>
          <w:b/>
          <w:sz w:val="20"/>
          <w:szCs w:val="20"/>
        </w:rPr>
      </w:pPr>
      <w:r w:rsidRPr="00C97D16">
        <w:rPr>
          <w:b/>
          <w:sz w:val="20"/>
          <w:szCs w:val="20"/>
        </w:rPr>
        <w:t xml:space="preserve">Wykres </w:t>
      </w:r>
      <w:r w:rsidR="00F53CE2">
        <w:rPr>
          <w:b/>
          <w:sz w:val="20"/>
          <w:szCs w:val="20"/>
        </w:rPr>
        <w:t>6</w:t>
      </w:r>
      <w:r w:rsidRPr="00C97D16">
        <w:rPr>
          <w:b/>
          <w:sz w:val="20"/>
          <w:szCs w:val="20"/>
        </w:rPr>
        <w:t xml:space="preserve"> Zestawienie wskaźników ubóstwa energetycznego według udziału gospodarstw domowych [%] zidentyfikowanych jako ubogie energetycznie w 2016 r. </w:t>
      </w:r>
      <w:r>
        <w:rPr>
          <w:b/>
          <w:sz w:val="20"/>
          <w:szCs w:val="20"/>
        </w:rPr>
        <w:t>zamieszkujących</w:t>
      </w:r>
      <w:r w:rsidRPr="00C97D16">
        <w:rPr>
          <w:b/>
          <w:sz w:val="20"/>
          <w:szCs w:val="20"/>
        </w:rPr>
        <w:t xml:space="preserve"> dom</w:t>
      </w:r>
      <w:r>
        <w:rPr>
          <w:b/>
          <w:sz w:val="20"/>
          <w:szCs w:val="20"/>
        </w:rPr>
        <w:t>y</w:t>
      </w:r>
      <w:r w:rsidRPr="00C97D16">
        <w:rPr>
          <w:b/>
          <w:sz w:val="20"/>
          <w:szCs w:val="20"/>
        </w:rPr>
        <w:t xml:space="preserve"> jednorodzinn</w:t>
      </w:r>
      <w:r>
        <w:rPr>
          <w:b/>
          <w:sz w:val="20"/>
          <w:szCs w:val="20"/>
        </w:rPr>
        <w:t>e</w:t>
      </w:r>
      <w:r w:rsidRPr="00C97D16">
        <w:rPr>
          <w:b/>
          <w:sz w:val="20"/>
          <w:szCs w:val="20"/>
        </w:rPr>
        <w:t xml:space="preserve"> w</w:t>
      </w:r>
      <w:r>
        <w:rPr>
          <w:b/>
          <w:sz w:val="20"/>
          <w:szCs w:val="20"/>
        </w:rPr>
        <w:t>edług</w:t>
      </w:r>
      <w:r w:rsidRPr="00C97D16">
        <w:rPr>
          <w:b/>
          <w:sz w:val="20"/>
          <w:szCs w:val="20"/>
        </w:rPr>
        <w:t xml:space="preserve"> roku budowy</w:t>
      </w:r>
      <w:r>
        <w:rPr>
          <w:b/>
          <w:sz w:val="20"/>
          <w:szCs w:val="20"/>
        </w:rPr>
        <w:t xml:space="preserve"> budynku</w:t>
      </w:r>
    </w:p>
    <w:p w14:paraId="4D3A25A2" w14:textId="041145BD" w:rsidR="00071948" w:rsidRDefault="00071948" w:rsidP="003E5930">
      <w:pPr>
        <w:autoSpaceDE w:val="0"/>
        <w:autoSpaceDN w:val="0"/>
        <w:adjustRightInd w:val="0"/>
        <w:spacing w:after="0" w:line="276" w:lineRule="auto"/>
        <w:rPr>
          <w:b/>
          <w:sz w:val="20"/>
          <w:szCs w:val="20"/>
        </w:rPr>
      </w:pPr>
      <w:r>
        <w:rPr>
          <w:noProof/>
          <w:lang w:eastAsia="pl-PL"/>
        </w:rPr>
        <w:drawing>
          <wp:inline distT="0" distB="0" distL="0" distR="0" wp14:anchorId="25AD13C4" wp14:editId="37236FAE">
            <wp:extent cx="5374005" cy="2796328"/>
            <wp:effectExtent l="0" t="0" r="10795" b="0"/>
            <wp:docPr id="27" name="Wykres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4A6E70C5" w14:textId="22D97E86" w:rsidR="00496D2A" w:rsidRDefault="00F53CE2" w:rsidP="003E5930">
      <w:pPr>
        <w:autoSpaceDE w:val="0"/>
        <w:autoSpaceDN w:val="0"/>
        <w:adjustRightInd w:val="0"/>
        <w:spacing w:after="0" w:line="276" w:lineRule="auto"/>
        <w:rPr>
          <w:b/>
          <w:sz w:val="20"/>
          <w:szCs w:val="20"/>
        </w:rPr>
      </w:pPr>
      <w:r>
        <w:rPr>
          <w:b/>
          <w:sz w:val="20"/>
          <w:szCs w:val="20"/>
        </w:rPr>
        <w:br w:type="column"/>
      </w:r>
      <w:r w:rsidR="00C97D16" w:rsidRPr="00C97D16">
        <w:rPr>
          <w:b/>
          <w:sz w:val="20"/>
          <w:szCs w:val="20"/>
        </w:rPr>
        <w:t xml:space="preserve">Wykres </w:t>
      </w:r>
      <w:r>
        <w:rPr>
          <w:b/>
          <w:sz w:val="20"/>
          <w:szCs w:val="20"/>
        </w:rPr>
        <w:t>7</w:t>
      </w:r>
      <w:r w:rsidR="00C97D16" w:rsidRPr="00C97D16">
        <w:rPr>
          <w:b/>
          <w:sz w:val="20"/>
          <w:szCs w:val="20"/>
        </w:rPr>
        <w:t xml:space="preserve"> Zestawienie wskaźników ubóstwa energetycznego według udziału gospodarstw domowych [%] zidentyfikowanych jako ubogie energetycznie w 2016 r. </w:t>
      </w:r>
      <w:r w:rsidR="00C97D16">
        <w:rPr>
          <w:b/>
          <w:sz w:val="20"/>
          <w:szCs w:val="20"/>
        </w:rPr>
        <w:t>zamieszkujących</w:t>
      </w:r>
      <w:r w:rsidR="00C97D16" w:rsidRPr="00C97D16">
        <w:rPr>
          <w:b/>
          <w:sz w:val="20"/>
          <w:szCs w:val="20"/>
        </w:rPr>
        <w:t xml:space="preserve"> dom</w:t>
      </w:r>
      <w:r w:rsidR="00C97D16">
        <w:rPr>
          <w:b/>
          <w:sz w:val="20"/>
          <w:szCs w:val="20"/>
        </w:rPr>
        <w:t>y</w:t>
      </w:r>
      <w:r w:rsidR="00C97D16" w:rsidRPr="00C97D16">
        <w:rPr>
          <w:b/>
          <w:sz w:val="20"/>
          <w:szCs w:val="20"/>
        </w:rPr>
        <w:t xml:space="preserve"> </w:t>
      </w:r>
      <w:r w:rsidR="00C97D16">
        <w:rPr>
          <w:b/>
          <w:sz w:val="20"/>
          <w:szCs w:val="20"/>
        </w:rPr>
        <w:t>wielorodzinne</w:t>
      </w:r>
      <w:r w:rsidR="00C97D16" w:rsidRPr="00C97D16">
        <w:rPr>
          <w:b/>
          <w:sz w:val="20"/>
          <w:szCs w:val="20"/>
        </w:rPr>
        <w:t xml:space="preserve"> w</w:t>
      </w:r>
      <w:r w:rsidR="00C97D16">
        <w:rPr>
          <w:b/>
          <w:sz w:val="20"/>
          <w:szCs w:val="20"/>
        </w:rPr>
        <w:t>edług</w:t>
      </w:r>
      <w:r w:rsidR="00C97D16" w:rsidRPr="00C97D16">
        <w:rPr>
          <w:b/>
          <w:sz w:val="20"/>
          <w:szCs w:val="20"/>
        </w:rPr>
        <w:t xml:space="preserve"> roku budowy</w:t>
      </w:r>
      <w:r w:rsidR="00C97D16">
        <w:rPr>
          <w:b/>
          <w:sz w:val="20"/>
          <w:szCs w:val="20"/>
        </w:rPr>
        <w:t xml:space="preserve"> budynku</w:t>
      </w:r>
    </w:p>
    <w:p w14:paraId="3490D751" w14:textId="1245691D" w:rsidR="00071948" w:rsidRPr="00C97D16" w:rsidRDefault="00071948" w:rsidP="003E5930">
      <w:pPr>
        <w:autoSpaceDE w:val="0"/>
        <w:autoSpaceDN w:val="0"/>
        <w:adjustRightInd w:val="0"/>
        <w:spacing w:after="0" w:line="276" w:lineRule="auto"/>
        <w:rPr>
          <w:rFonts w:cs="Arial"/>
          <w:b/>
          <w:sz w:val="20"/>
          <w:szCs w:val="20"/>
        </w:rPr>
      </w:pPr>
      <w:r>
        <w:rPr>
          <w:noProof/>
          <w:lang w:eastAsia="pl-PL"/>
        </w:rPr>
        <w:drawing>
          <wp:inline distT="0" distB="0" distL="0" distR="0" wp14:anchorId="0BDE4099" wp14:editId="26C3F0BE">
            <wp:extent cx="5431155" cy="2677583"/>
            <wp:effectExtent l="0" t="0" r="4445" b="0"/>
            <wp:docPr id="15" name="Wykres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421ADF85" w14:textId="568B4FC3" w:rsidR="00EB537A" w:rsidRPr="00961B46" w:rsidRDefault="00F44B3D" w:rsidP="00F44B3D">
      <w:pPr>
        <w:autoSpaceDE w:val="0"/>
        <w:autoSpaceDN w:val="0"/>
        <w:adjustRightInd w:val="0"/>
        <w:spacing w:after="0" w:line="276" w:lineRule="auto"/>
        <w:jc w:val="both"/>
        <w:rPr>
          <w:rFonts w:cs="Arial"/>
          <w:sz w:val="20"/>
          <w:szCs w:val="20"/>
        </w:rPr>
      </w:pPr>
      <w:r>
        <w:rPr>
          <w:rFonts w:cs="Arial"/>
          <w:sz w:val="20"/>
          <w:szCs w:val="20"/>
        </w:rPr>
        <w:t>Intuicyjne, w</w:t>
      </w:r>
      <w:r w:rsidRPr="00F44B3D">
        <w:rPr>
          <w:rFonts w:cs="Arial"/>
          <w:sz w:val="20"/>
          <w:szCs w:val="20"/>
        </w:rPr>
        <w:t xml:space="preserve">ystępowanie ubóstwa energetycznego jest wyższe wśród gospodarstw domowych, które </w:t>
      </w:r>
      <w:r w:rsidR="00F53CE2">
        <w:rPr>
          <w:rFonts w:cs="Arial"/>
          <w:sz w:val="20"/>
          <w:szCs w:val="20"/>
        </w:rPr>
        <w:t>zamieszkują</w:t>
      </w:r>
      <w:r w:rsidRPr="00F44B3D">
        <w:rPr>
          <w:rFonts w:cs="Arial"/>
          <w:sz w:val="20"/>
          <w:szCs w:val="20"/>
        </w:rPr>
        <w:t xml:space="preserve"> starsze </w:t>
      </w:r>
      <w:r w:rsidR="00F53CE2">
        <w:rPr>
          <w:rFonts w:cs="Arial"/>
          <w:sz w:val="20"/>
          <w:szCs w:val="20"/>
        </w:rPr>
        <w:t>budynki</w:t>
      </w:r>
      <w:r w:rsidRPr="00F44B3D">
        <w:rPr>
          <w:rFonts w:cs="Arial"/>
          <w:sz w:val="20"/>
          <w:szCs w:val="20"/>
        </w:rPr>
        <w:t xml:space="preserve">. Jest to zgodne z </w:t>
      </w:r>
      <w:r w:rsidR="00F53CE2">
        <w:rPr>
          <w:rFonts w:cs="Arial"/>
          <w:sz w:val="20"/>
          <w:szCs w:val="20"/>
        </w:rPr>
        <w:t>rozumieniem</w:t>
      </w:r>
      <w:r>
        <w:rPr>
          <w:rFonts w:cs="Arial"/>
          <w:sz w:val="20"/>
          <w:szCs w:val="20"/>
        </w:rPr>
        <w:t xml:space="preserve"> ubóstwa energetycznego</w:t>
      </w:r>
      <w:r w:rsidRPr="00F44B3D">
        <w:rPr>
          <w:rFonts w:cs="Arial"/>
          <w:sz w:val="20"/>
          <w:szCs w:val="20"/>
        </w:rPr>
        <w:t xml:space="preserve">, </w:t>
      </w:r>
      <w:r w:rsidR="00F53CE2">
        <w:rPr>
          <w:rFonts w:cs="Arial"/>
          <w:sz w:val="20"/>
          <w:szCs w:val="20"/>
        </w:rPr>
        <w:t xml:space="preserve">według </w:t>
      </w:r>
      <w:r w:rsidRPr="00F44B3D">
        <w:rPr>
          <w:rFonts w:cs="Arial"/>
          <w:sz w:val="20"/>
          <w:szCs w:val="20"/>
        </w:rPr>
        <w:t>któr</w:t>
      </w:r>
      <w:r w:rsidR="00F53CE2">
        <w:rPr>
          <w:rFonts w:cs="Arial"/>
          <w:sz w:val="20"/>
          <w:szCs w:val="20"/>
        </w:rPr>
        <w:t xml:space="preserve">ego </w:t>
      </w:r>
      <w:r w:rsidRPr="00F44B3D">
        <w:rPr>
          <w:rFonts w:cs="Arial"/>
          <w:sz w:val="20"/>
          <w:szCs w:val="20"/>
        </w:rPr>
        <w:t xml:space="preserve">ubóstwo energetyczne </w:t>
      </w:r>
      <w:r>
        <w:rPr>
          <w:rFonts w:cs="Arial"/>
          <w:sz w:val="20"/>
          <w:szCs w:val="20"/>
        </w:rPr>
        <w:t>może wynikać z niskiej</w:t>
      </w:r>
      <w:r w:rsidRPr="00F44B3D">
        <w:rPr>
          <w:rFonts w:cs="Arial"/>
          <w:sz w:val="20"/>
          <w:szCs w:val="20"/>
        </w:rPr>
        <w:t xml:space="preserve"> efektywności energetycznej budynków.</w:t>
      </w:r>
      <w:r>
        <w:rPr>
          <w:rFonts w:cs="Arial"/>
          <w:sz w:val="20"/>
          <w:szCs w:val="20"/>
        </w:rPr>
        <w:t xml:space="preserve"> Wśród wskaźników zauważamy</w:t>
      </w:r>
      <w:r w:rsidRPr="00F44B3D">
        <w:rPr>
          <w:rFonts w:cs="Arial"/>
          <w:sz w:val="20"/>
          <w:szCs w:val="20"/>
        </w:rPr>
        <w:t xml:space="preserve"> </w:t>
      </w:r>
      <w:r>
        <w:rPr>
          <w:rFonts w:cs="Arial"/>
          <w:sz w:val="20"/>
          <w:szCs w:val="20"/>
        </w:rPr>
        <w:t xml:space="preserve">jeden </w:t>
      </w:r>
      <w:r w:rsidRPr="00F44B3D">
        <w:rPr>
          <w:rFonts w:cs="Arial"/>
          <w:sz w:val="20"/>
          <w:szCs w:val="20"/>
        </w:rPr>
        <w:t xml:space="preserve">wyjątek: </w:t>
      </w:r>
      <w:r>
        <w:rPr>
          <w:rFonts w:cs="Arial"/>
          <w:sz w:val="20"/>
          <w:szCs w:val="20"/>
        </w:rPr>
        <w:t>U</w:t>
      </w:r>
      <w:r w:rsidRPr="00F44B3D">
        <w:rPr>
          <w:rFonts w:cs="Arial"/>
          <w:sz w:val="20"/>
          <w:szCs w:val="20"/>
        </w:rPr>
        <w:t>kryte</w:t>
      </w:r>
      <w:r>
        <w:rPr>
          <w:rFonts w:cs="Arial"/>
          <w:sz w:val="20"/>
          <w:szCs w:val="20"/>
        </w:rPr>
        <w:t xml:space="preserve"> ubóstwo</w:t>
      </w:r>
      <w:r w:rsidRPr="00F44B3D">
        <w:rPr>
          <w:rFonts w:cs="Arial"/>
          <w:sz w:val="20"/>
          <w:szCs w:val="20"/>
        </w:rPr>
        <w:t xml:space="preserve"> energetyczne</w:t>
      </w:r>
      <w:r>
        <w:rPr>
          <w:rFonts w:cs="Arial"/>
          <w:sz w:val="20"/>
          <w:szCs w:val="20"/>
        </w:rPr>
        <w:t>, które</w:t>
      </w:r>
      <w:r w:rsidRPr="00F44B3D">
        <w:rPr>
          <w:rFonts w:cs="Arial"/>
          <w:sz w:val="20"/>
          <w:szCs w:val="20"/>
        </w:rPr>
        <w:t xml:space="preserve"> wskazuje </w:t>
      </w:r>
      <w:r>
        <w:rPr>
          <w:rFonts w:cs="Arial"/>
          <w:sz w:val="20"/>
          <w:szCs w:val="20"/>
        </w:rPr>
        <w:t xml:space="preserve">na najwyższy udział ubogich energetycznie gospodarstw domowych w </w:t>
      </w:r>
      <w:r w:rsidRPr="00F44B3D">
        <w:rPr>
          <w:rFonts w:cs="Arial"/>
          <w:sz w:val="20"/>
          <w:szCs w:val="20"/>
        </w:rPr>
        <w:t>najnowsz</w:t>
      </w:r>
      <w:r>
        <w:rPr>
          <w:rFonts w:cs="Arial"/>
          <w:sz w:val="20"/>
          <w:szCs w:val="20"/>
        </w:rPr>
        <w:t>ych</w:t>
      </w:r>
      <w:r w:rsidRPr="00F44B3D">
        <w:rPr>
          <w:rFonts w:cs="Arial"/>
          <w:sz w:val="20"/>
          <w:szCs w:val="20"/>
        </w:rPr>
        <w:t xml:space="preserve"> budynk</w:t>
      </w:r>
      <w:r>
        <w:rPr>
          <w:rFonts w:cs="Arial"/>
          <w:sz w:val="20"/>
          <w:szCs w:val="20"/>
        </w:rPr>
        <w:t>ach</w:t>
      </w:r>
      <w:r w:rsidRPr="00F44B3D">
        <w:rPr>
          <w:rFonts w:cs="Arial"/>
          <w:sz w:val="20"/>
          <w:szCs w:val="20"/>
        </w:rPr>
        <w:t xml:space="preserve"> (zbudowan</w:t>
      </w:r>
      <w:r>
        <w:rPr>
          <w:rFonts w:cs="Arial"/>
          <w:sz w:val="20"/>
          <w:szCs w:val="20"/>
        </w:rPr>
        <w:t>ych</w:t>
      </w:r>
      <w:r w:rsidRPr="00F44B3D">
        <w:rPr>
          <w:rFonts w:cs="Arial"/>
          <w:sz w:val="20"/>
          <w:szCs w:val="20"/>
        </w:rPr>
        <w:t xml:space="preserve"> po 1996 r.) zarówno w domach jednorodzinnych, jak i wielorodzinnych. </w:t>
      </w:r>
      <w:r>
        <w:rPr>
          <w:rFonts w:cs="Arial"/>
          <w:sz w:val="20"/>
          <w:szCs w:val="20"/>
        </w:rPr>
        <w:t>Dlatego wskaźnik wymaga pogłębionej analizy</w:t>
      </w:r>
      <w:r w:rsidR="00F53CE2">
        <w:rPr>
          <w:rFonts w:cs="Arial"/>
          <w:sz w:val="20"/>
          <w:szCs w:val="20"/>
        </w:rPr>
        <w:t>, którą przeprowadzamy w dalszej części raportu</w:t>
      </w:r>
      <w:r>
        <w:rPr>
          <w:rFonts w:cs="Arial"/>
          <w:sz w:val="20"/>
          <w:szCs w:val="20"/>
        </w:rPr>
        <w:t>.</w:t>
      </w:r>
    </w:p>
    <w:p w14:paraId="1BFDB9B3" w14:textId="77777777" w:rsidR="00EB537A" w:rsidRPr="00961B46" w:rsidRDefault="00EB537A" w:rsidP="003E5930">
      <w:pPr>
        <w:autoSpaceDE w:val="0"/>
        <w:autoSpaceDN w:val="0"/>
        <w:adjustRightInd w:val="0"/>
        <w:spacing w:after="0" w:line="276" w:lineRule="auto"/>
        <w:rPr>
          <w:b/>
          <w:sz w:val="20"/>
          <w:szCs w:val="20"/>
        </w:rPr>
      </w:pPr>
    </w:p>
    <w:p w14:paraId="4D96A203" w14:textId="0F5F3A96" w:rsidR="00F44B3D" w:rsidRDefault="00F44B3D" w:rsidP="003E5930">
      <w:pPr>
        <w:autoSpaceDE w:val="0"/>
        <w:autoSpaceDN w:val="0"/>
        <w:adjustRightInd w:val="0"/>
        <w:spacing w:after="0" w:line="276" w:lineRule="auto"/>
        <w:rPr>
          <w:b/>
          <w:sz w:val="20"/>
          <w:szCs w:val="20"/>
        </w:rPr>
      </w:pPr>
      <w:r w:rsidRPr="00F44B3D">
        <w:rPr>
          <w:b/>
          <w:sz w:val="20"/>
          <w:szCs w:val="20"/>
        </w:rPr>
        <w:t xml:space="preserve">Wykres </w:t>
      </w:r>
      <w:r w:rsidR="00F53CE2">
        <w:rPr>
          <w:b/>
          <w:sz w:val="20"/>
          <w:szCs w:val="20"/>
        </w:rPr>
        <w:t>8</w:t>
      </w:r>
      <w:r w:rsidRPr="00F44B3D">
        <w:rPr>
          <w:b/>
          <w:sz w:val="20"/>
          <w:szCs w:val="20"/>
        </w:rPr>
        <w:t xml:space="preserve"> Zestawienie wskaźników ubóstwa energetycznego według udziału gospodarstw domowych [%] zidentyfikowanych jako ubogie energetycznie w 2016 r. z uwzględnieniem głównego źródła dochodów gospodarstwa</w:t>
      </w:r>
    </w:p>
    <w:p w14:paraId="01D9FB86" w14:textId="76DD414B" w:rsidR="00C00BA4" w:rsidRPr="0067298D" w:rsidRDefault="0067298D" w:rsidP="00557AB5">
      <w:pPr>
        <w:autoSpaceDE w:val="0"/>
        <w:autoSpaceDN w:val="0"/>
        <w:adjustRightInd w:val="0"/>
        <w:spacing w:after="0" w:line="276" w:lineRule="auto"/>
        <w:rPr>
          <w:b/>
          <w:sz w:val="20"/>
          <w:szCs w:val="20"/>
        </w:rPr>
      </w:pPr>
      <w:r>
        <w:rPr>
          <w:noProof/>
          <w:lang w:eastAsia="pl-PL"/>
        </w:rPr>
        <w:drawing>
          <wp:inline distT="0" distB="0" distL="0" distR="0" wp14:anchorId="4A9C175B" wp14:editId="3445A6D0">
            <wp:extent cx="5488305" cy="3236172"/>
            <wp:effectExtent l="0" t="0" r="0" b="0"/>
            <wp:docPr id="28" name="Wykres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4BEB3782" w14:textId="7861A8DA" w:rsidR="00F219AF" w:rsidRPr="00D55E8C" w:rsidRDefault="00F219AF" w:rsidP="0B34B54E">
      <w:pPr>
        <w:autoSpaceDE w:val="0"/>
        <w:autoSpaceDN w:val="0"/>
        <w:adjustRightInd w:val="0"/>
        <w:spacing w:after="0" w:line="276" w:lineRule="auto"/>
        <w:jc w:val="both"/>
        <w:rPr>
          <w:rFonts w:cs="Arial"/>
          <w:sz w:val="20"/>
          <w:szCs w:val="20"/>
        </w:rPr>
      </w:pPr>
      <w:r w:rsidRPr="00D55E8C">
        <w:rPr>
          <w:rFonts w:cs="Arial"/>
          <w:sz w:val="20"/>
          <w:szCs w:val="20"/>
        </w:rPr>
        <w:t xml:space="preserve">Trzy wskaźniki oparte na wydatkach: </w:t>
      </w:r>
      <w:r w:rsidRPr="00D55E8C">
        <w:rPr>
          <w:rFonts w:cs="Arial"/>
          <w:b/>
          <w:sz w:val="20"/>
          <w:szCs w:val="20"/>
        </w:rPr>
        <w:t>Wysokie Koszty, Niskie Dochody</w:t>
      </w:r>
      <w:r w:rsidRPr="00D55E8C">
        <w:rPr>
          <w:rFonts w:cs="Arial"/>
          <w:sz w:val="20"/>
          <w:szCs w:val="20"/>
        </w:rPr>
        <w:t xml:space="preserve">, </w:t>
      </w:r>
      <w:r w:rsidRPr="00D55E8C">
        <w:rPr>
          <w:rFonts w:cs="Arial"/>
          <w:b/>
          <w:sz w:val="20"/>
          <w:szCs w:val="20"/>
        </w:rPr>
        <w:t>22% Udział wymaganych wydatków na energię względem dochodu</w:t>
      </w:r>
      <w:r w:rsidRPr="00D55E8C">
        <w:rPr>
          <w:rFonts w:cs="Arial"/>
          <w:sz w:val="20"/>
          <w:szCs w:val="20"/>
        </w:rPr>
        <w:t xml:space="preserve"> i </w:t>
      </w:r>
      <w:r w:rsidRPr="00D55E8C">
        <w:rPr>
          <w:rFonts w:cs="Arial"/>
          <w:b/>
          <w:sz w:val="20"/>
          <w:szCs w:val="20"/>
        </w:rPr>
        <w:t>Ukryte ubóstwo energetyczne</w:t>
      </w:r>
      <w:r w:rsidRPr="00D55E8C">
        <w:rPr>
          <w:rFonts w:cs="Arial"/>
          <w:sz w:val="20"/>
          <w:szCs w:val="20"/>
        </w:rPr>
        <w:t xml:space="preserve"> wska</w:t>
      </w:r>
      <w:r w:rsidR="00D55E8C" w:rsidRPr="00D55E8C">
        <w:rPr>
          <w:rFonts w:cs="Arial"/>
          <w:sz w:val="20"/>
          <w:szCs w:val="20"/>
        </w:rPr>
        <w:t>zują na najwyższe ryzyko ubóstwa energetycznego wśród rolników.</w:t>
      </w:r>
      <w:r w:rsidRPr="00D55E8C">
        <w:rPr>
          <w:rFonts w:cs="Arial"/>
          <w:sz w:val="20"/>
          <w:szCs w:val="20"/>
        </w:rPr>
        <w:t xml:space="preserve"> Dwa </w:t>
      </w:r>
      <w:r w:rsidR="00D55E8C" w:rsidRPr="00D55E8C">
        <w:rPr>
          <w:rFonts w:cs="Arial"/>
          <w:sz w:val="20"/>
          <w:szCs w:val="20"/>
        </w:rPr>
        <w:t xml:space="preserve">wskaźniki opierające się na samoocenie: </w:t>
      </w:r>
      <w:r w:rsidR="00D55E8C" w:rsidRPr="00D55E8C">
        <w:rPr>
          <w:rFonts w:cs="Arial"/>
          <w:b/>
          <w:sz w:val="20"/>
          <w:szCs w:val="20"/>
        </w:rPr>
        <w:t>Budynek z przeciekającym dachem, zawilgoconymi ścianami, podłogami, fundamentami, butwiejącymi oknami lub podłogami</w:t>
      </w:r>
      <w:r w:rsidR="00D55E8C" w:rsidRPr="00D55E8C">
        <w:rPr>
          <w:rFonts w:cs="Arial"/>
          <w:sz w:val="20"/>
          <w:szCs w:val="20"/>
        </w:rPr>
        <w:t xml:space="preserve"> i </w:t>
      </w:r>
      <w:r w:rsidR="00D55E8C" w:rsidRPr="00D55E8C">
        <w:rPr>
          <w:rFonts w:cs="Arial"/>
          <w:b/>
          <w:sz w:val="20"/>
          <w:szCs w:val="20"/>
        </w:rPr>
        <w:t>Niewystarczający komfort cieplny</w:t>
      </w:r>
      <w:r w:rsidR="00D55E8C">
        <w:rPr>
          <w:rFonts w:cs="Arial"/>
          <w:sz w:val="20"/>
          <w:szCs w:val="20"/>
        </w:rPr>
        <w:t xml:space="preserve"> identyfikują ryzyko ubóstwa energetycznego</w:t>
      </w:r>
      <w:r w:rsidRPr="00D55E8C">
        <w:rPr>
          <w:rFonts w:cs="Arial"/>
          <w:sz w:val="20"/>
          <w:szCs w:val="20"/>
        </w:rPr>
        <w:t xml:space="preserve"> głównie</w:t>
      </w:r>
      <w:r w:rsidR="00D55E8C">
        <w:rPr>
          <w:rFonts w:cs="Arial"/>
          <w:sz w:val="20"/>
          <w:szCs w:val="20"/>
        </w:rPr>
        <w:t xml:space="preserve"> wśród</w:t>
      </w:r>
      <w:r w:rsidRPr="00D55E8C">
        <w:rPr>
          <w:rFonts w:cs="Arial"/>
          <w:sz w:val="20"/>
          <w:szCs w:val="20"/>
        </w:rPr>
        <w:t xml:space="preserve"> pracowników fizycznych, co jest związane z cechami</w:t>
      </w:r>
      <w:r w:rsidR="00D55E8C">
        <w:rPr>
          <w:rFonts w:cs="Arial"/>
          <w:sz w:val="20"/>
          <w:szCs w:val="20"/>
        </w:rPr>
        <w:t xml:space="preserve"> budynków zamieszkiwanych przez wskazaną grupę zawodową</w:t>
      </w:r>
      <w:r w:rsidRPr="00D55E8C">
        <w:rPr>
          <w:rFonts w:cs="Arial"/>
          <w:sz w:val="20"/>
          <w:szCs w:val="20"/>
        </w:rPr>
        <w:t>.</w:t>
      </w:r>
    </w:p>
    <w:p w14:paraId="10DA8B80" w14:textId="0600C337" w:rsidR="00E73413" w:rsidRPr="00D55E8C" w:rsidRDefault="00D55E8C" w:rsidP="00557AB5">
      <w:pPr>
        <w:pStyle w:val="Nagwek2"/>
        <w:numPr>
          <w:ilvl w:val="1"/>
          <w:numId w:val="43"/>
        </w:numPr>
      </w:pPr>
      <w:bookmarkStart w:id="26" w:name="_Toc528189739"/>
      <w:r w:rsidRPr="00D55E8C">
        <w:t xml:space="preserve">Zmiany w </w:t>
      </w:r>
      <w:r>
        <w:t>grupie</w:t>
      </w:r>
      <w:r w:rsidRPr="00D55E8C">
        <w:t xml:space="preserve"> wskaźników</w:t>
      </w:r>
      <w:bookmarkEnd w:id="26"/>
    </w:p>
    <w:p w14:paraId="44341483" w14:textId="4DAA988F" w:rsidR="00886548" w:rsidRPr="00886548" w:rsidRDefault="00886548" w:rsidP="0B34B54E">
      <w:pPr>
        <w:autoSpaceDE w:val="0"/>
        <w:autoSpaceDN w:val="0"/>
        <w:adjustRightInd w:val="0"/>
        <w:spacing w:after="0" w:line="276" w:lineRule="auto"/>
        <w:jc w:val="both"/>
        <w:rPr>
          <w:sz w:val="20"/>
          <w:szCs w:val="20"/>
        </w:rPr>
      </w:pPr>
      <w:r w:rsidRPr="00886548">
        <w:rPr>
          <w:sz w:val="20"/>
          <w:szCs w:val="20"/>
        </w:rPr>
        <w:t>W rozdziale dokonujemy pogłębionej analizy wskaźników, które wyk</w:t>
      </w:r>
      <w:r w:rsidR="00F53CE2">
        <w:rPr>
          <w:sz w:val="20"/>
          <w:szCs w:val="20"/>
        </w:rPr>
        <w:t>azały istotne nieprawidłowości</w:t>
      </w:r>
      <w:r w:rsidRPr="00886548">
        <w:rPr>
          <w:sz w:val="20"/>
          <w:szCs w:val="20"/>
        </w:rPr>
        <w:t xml:space="preserve">. </w:t>
      </w:r>
      <w:r>
        <w:rPr>
          <w:sz w:val="20"/>
          <w:szCs w:val="20"/>
        </w:rPr>
        <w:t>P</w:t>
      </w:r>
      <w:r w:rsidRPr="00886548">
        <w:rPr>
          <w:sz w:val="20"/>
          <w:szCs w:val="20"/>
        </w:rPr>
        <w:t xml:space="preserve">rezentujemy wyniki dla subpopulacji </w:t>
      </w:r>
      <w:r>
        <w:rPr>
          <w:sz w:val="20"/>
          <w:szCs w:val="20"/>
        </w:rPr>
        <w:t xml:space="preserve">tych </w:t>
      </w:r>
      <w:r w:rsidRPr="00886548">
        <w:rPr>
          <w:sz w:val="20"/>
          <w:szCs w:val="20"/>
        </w:rPr>
        <w:t xml:space="preserve">wskaźników i oceniamy ich przydatność w pomiarze ubóstwa energetycznego w Polsce. Wyniki dotyczące subpopulacji </w:t>
      </w:r>
      <w:r>
        <w:rPr>
          <w:sz w:val="20"/>
          <w:szCs w:val="20"/>
        </w:rPr>
        <w:t xml:space="preserve">dla </w:t>
      </w:r>
      <w:r w:rsidRPr="00886548">
        <w:rPr>
          <w:sz w:val="20"/>
          <w:szCs w:val="20"/>
        </w:rPr>
        <w:t>wszystkich wskaźników znajdują się w załączniku I.</w:t>
      </w:r>
    </w:p>
    <w:p w14:paraId="74177B08" w14:textId="612550CF" w:rsidR="00A6749B" w:rsidRPr="00886548" w:rsidRDefault="00886548" w:rsidP="00D9053C">
      <w:pPr>
        <w:pStyle w:val="Nagwek3"/>
        <w:numPr>
          <w:ilvl w:val="2"/>
          <w:numId w:val="38"/>
        </w:numPr>
      </w:pPr>
      <w:r w:rsidRPr="00886548">
        <w:t>Ukryte ubóstwo energetyczne</w:t>
      </w:r>
    </w:p>
    <w:p w14:paraId="4613E057" w14:textId="751B00CD" w:rsidR="00886548" w:rsidRPr="00886548" w:rsidRDefault="00886548" w:rsidP="00D9053C">
      <w:pPr>
        <w:pStyle w:val="Normal1"/>
      </w:pPr>
      <w:r>
        <w:t>Szczegółowo analizujemy w</w:t>
      </w:r>
      <w:r w:rsidR="00F53CE2">
        <w:t>skaźnik</w:t>
      </w:r>
      <w:r w:rsidRPr="00886548">
        <w:t xml:space="preserve"> </w:t>
      </w:r>
      <w:r>
        <w:t>z dwóch powodów.</w:t>
      </w:r>
      <w:r w:rsidRPr="00886548">
        <w:t xml:space="preserve"> </w:t>
      </w:r>
      <w:r>
        <w:t>Po pierwsze, w</w:t>
      </w:r>
      <w:r w:rsidRPr="00886548">
        <w:t>skazuje</w:t>
      </w:r>
      <w:r w:rsidR="00F53CE2">
        <w:t xml:space="preserve"> on</w:t>
      </w:r>
      <w:r w:rsidRPr="00886548">
        <w:t>, że</w:t>
      </w:r>
      <w:r>
        <w:t xml:space="preserve"> ubogie energetycznie</w:t>
      </w:r>
      <w:r w:rsidRPr="00886548">
        <w:t xml:space="preserve"> gospodarstwa domowe </w:t>
      </w:r>
      <w:r>
        <w:t>mieszkają w budynkach jednorodzinnych</w:t>
      </w:r>
      <w:r w:rsidRPr="00886548">
        <w:t xml:space="preserve"> i wielorodzinny</w:t>
      </w:r>
      <w:r>
        <w:t>ch</w:t>
      </w:r>
      <w:r w:rsidRPr="00886548">
        <w:t xml:space="preserve"> zbudowany</w:t>
      </w:r>
      <w:r>
        <w:t>ch</w:t>
      </w:r>
      <w:r w:rsidRPr="00886548">
        <w:t xml:space="preserve"> po roku 1996. Ten sprzeczny z intuicją wynik </w:t>
      </w:r>
      <w:r w:rsidR="00F53CE2">
        <w:t xml:space="preserve">jest konsekwencją </w:t>
      </w:r>
      <w:r>
        <w:t>konstrukcji wskaźnika</w:t>
      </w:r>
      <w:r w:rsidR="00F53CE2">
        <w:t xml:space="preserve">, który </w:t>
      </w:r>
      <w:r>
        <w:t>identyfik</w:t>
      </w:r>
      <w:r w:rsidR="00F53CE2">
        <w:t>uje</w:t>
      </w:r>
      <w:r w:rsidRPr="00886548">
        <w:t xml:space="preserve"> gospodarstw</w:t>
      </w:r>
      <w:r w:rsidR="00F53CE2">
        <w:t>a</w:t>
      </w:r>
      <w:r>
        <w:t xml:space="preserve"> domow</w:t>
      </w:r>
      <w:r w:rsidR="00F53CE2">
        <w:t>e</w:t>
      </w:r>
      <w:r>
        <w:t xml:space="preserve"> o</w:t>
      </w:r>
      <w:r w:rsidRPr="00886548">
        <w:t xml:space="preserve"> wyjątkowo niskich </w:t>
      </w:r>
      <w:r>
        <w:t>wydatkach na</w:t>
      </w:r>
      <w:r w:rsidRPr="00886548">
        <w:t xml:space="preserve"> energ</w:t>
      </w:r>
      <w:r>
        <w:t>ię.</w:t>
      </w:r>
      <w:r w:rsidRPr="00886548">
        <w:t xml:space="preserve"> </w:t>
      </w:r>
      <w:r w:rsidR="00F53CE2">
        <w:t>Niskie wydatki energetyczne</w:t>
      </w:r>
      <w:r w:rsidRPr="00886548">
        <w:t xml:space="preserve"> </w:t>
      </w:r>
      <w:r w:rsidR="00F53CE2">
        <w:t xml:space="preserve">mogą </w:t>
      </w:r>
      <w:r w:rsidRPr="00886548">
        <w:t>być</w:t>
      </w:r>
      <w:r>
        <w:t xml:space="preserve"> </w:t>
      </w:r>
      <w:r w:rsidRPr="00886548">
        <w:t xml:space="preserve">spowodowane wysoką efektywnością energetyczną </w:t>
      </w:r>
      <w:r>
        <w:t xml:space="preserve">budynków, a nie </w:t>
      </w:r>
      <w:r w:rsidRPr="00886548">
        <w:t>ubóstwem energetycznym. Wyniki dla subpopulacji przedstawione w tabeli</w:t>
      </w:r>
      <w:r w:rsidR="00F53CE2">
        <w:t xml:space="preserve"> 5</w:t>
      </w:r>
      <w:r w:rsidRPr="00886548">
        <w:t xml:space="preserve"> wydają się potwierdzać tę hipotezę, ponieważ udział gospodarstw domowych </w:t>
      </w:r>
      <w:r>
        <w:t>mieszkających w</w:t>
      </w:r>
      <w:r w:rsidRPr="00886548">
        <w:t xml:space="preserve"> budyn</w:t>
      </w:r>
      <w:r>
        <w:t>kach wybudowan</w:t>
      </w:r>
      <w:r w:rsidR="00F53CE2">
        <w:t>ych</w:t>
      </w:r>
      <w:r>
        <w:t xml:space="preserve"> po 2007 r. (o</w:t>
      </w:r>
      <w:r w:rsidRPr="00886548">
        <w:t xml:space="preserve"> najwyższej średniej efektywności energetycznej) wynosi 36,1% w przypadku domów jednorodzinnych, </w:t>
      </w:r>
      <w:r>
        <w:t xml:space="preserve">i </w:t>
      </w:r>
      <w:r w:rsidRPr="00886548">
        <w:t xml:space="preserve">31,4% w domach wielorodzinnych. Ograniczona przydatność wskaźnika jest szczególnie widoczna, gdy porównujemy dochody gospodarstw domowych zidentyfikowanych jako ubogie energetycznie z resztą populacji. Średni dochód na osobę w gospodarstwie domowym </w:t>
      </w:r>
      <w:r>
        <w:t>identyfikowanym przez wskaźnik</w:t>
      </w:r>
      <w:r w:rsidRPr="00886548">
        <w:t xml:space="preserve"> wynosi 2023 zł, a </w:t>
      </w:r>
      <w:r>
        <w:t>medianowy</w:t>
      </w:r>
      <w:r w:rsidRPr="00886548">
        <w:t xml:space="preserve"> dochód to 1593 zł (w 2016 r.). Średnia</w:t>
      </w:r>
      <w:r>
        <w:t xml:space="preserve"> i mediana w</w:t>
      </w:r>
      <w:r w:rsidRPr="00886548">
        <w:t xml:space="preserve"> populacja wynosi</w:t>
      </w:r>
      <w:r>
        <w:t xml:space="preserve"> odpowiednio</w:t>
      </w:r>
      <w:r w:rsidRPr="00886548">
        <w:t xml:space="preserve"> 1705 zł i 1496. Ponieważ wskaźnik identyfik</w:t>
      </w:r>
      <w:r w:rsidR="00960C73">
        <w:t>uje</w:t>
      </w:r>
      <w:r w:rsidRPr="00886548">
        <w:t xml:space="preserve"> gospodarstw</w:t>
      </w:r>
      <w:r w:rsidR="00960C73">
        <w:t>a</w:t>
      </w:r>
      <w:r w:rsidRPr="00886548">
        <w:t xml:space="preserve"> domow</w:t>
      </w:r>
      <w:r w:rsidR="00960C73">
        <w:t>e</w:t>
      </w:r>
      <w:r w:rsidRPr="00886548">
        <w:t xml:space="preserve"> o ponadprzeciętnych dochodach </w:t>
      </w:r>
      <w:r w:rsidR="00F53CE2">
        <w:t>mieszkające</w:t>
      </w:r>
      <w:r w:rsidRPr="00886548">
        <w:t xml:space="preserve"> w nowych budynkach, nie powinien być </w:t>
      </w:r>
      <w:r w:rsidR="00F53CE2">
        <w:t>wykorzystywany do pomiaru ubóstwa energetycznego</w:t>
      </w:r>
      <w:r w:rsidRPr="00886548">
        <w:t>.</w:t>
      </w:r>
    </w:p>
    <w:p w14:paraId="12D5D143" w14:textId="27FAB59B" w:rsidR="00960C73" w:rsidRPr="00960C73" w:rsidRDefault="00960C73" w:rsidP="00D9053C">
      <w:pPr>
        <w:pStyle w:val="Normal1"/>
      </w:pPr>
      <w:r>
        <w:t xml:space="preserve">Specyfika </w:t>
      </w:r>
      <w:r w:rsidRPr="00960C73">
        <w:t xml:space="preserve">polskiego sektora energetycznego </w:t>
      </w:r>
      <w:r>
        <w:t xml:space="preserve">może być uznana za dodatkowy </w:t>
      </w:r>
      <w:r w:rsidRPr="00960C73">
        <w:t xml:space="preserve">argument za </w:t>
      </w:r>
      <w:r>
        <w:t>wyłączeniem Ukrytego ubóstwa energetycznego z zestawu wskaźników</w:t>
      </w:r>
      <w:r w:rsidRPr="00960C73">
        <w:t xml:space="preserve">. Według </w:t>
      </w:r>
      <w:r>
        <w:t>GUS</w:t>
      </w:r>
      <w:r w:rsidRPr="00960C73">
        <w:t xml:space="preserve"> (2015), 49% gospodarstw domowych</w:t>
      </w:r>
      <w:r>
        <w:t xml:space="preserve"> w Polsce</w:t>
      </w:r>
      <w:r w:rsidRPr="00960C73">
        <w:t xml:space="preserve"> używa paliwa stałego (drewna lub węgla) do celów grzewczych, a 14% gospodarstw domowych, które wykorzystują drewno jako paliwo przyznaje, że zostało </w:t>
      </w:r>
      <w:r>
        <w:t>pozyskane</w:t>
      </w:r>
      <w:r w:rsidRPr="00960C73">
        <w:t xml:space="preserve"> </w:t>
      </w:r>
      <w:r>
        <w:t>„</w:t>
      </w:r>
      <w:r w:rsidRPr="00960C73">
        <w:t>za darmo</w:t>
      </w:r>
      <w:r>
        <w:t>”</w:t>
      </w:r>
      <w:r w:rsidRPr="00960C73">
        <w:t>. W związku z tym</w:t>
      </w:r>
      <w:r>
        <w:t>,</w:t>
      </w:r>
      <w:r w:rsidRPr="00960C73">
        <w:t xml:space="preserve"> wskaźnik może identyfikować gospodarstwa domowe mające dostęp do </w:t>
      </w:r>
      <w:r>
        <w:t>darmowego paliwa</w:t>
      </w:r>
      <w:r w:rsidRPr="00960C73">
        <w:t xml:space="preserve"> grzewczego, </w:t>
      </w:r>
      <w:r>
        <w:t>które nie muszą być ubogie energetycznie</w:t>
      </w:r>
      <w:r w:rsidRPr="00960C73">
        <w:t xml:space="preserve">. </w:t>
      </w:r>
      <w:r>
        <w:t>J</w:t>
      </w:r>
      <w:r w:rsidRPr="00960C73">
        <w:t xml:space="preserve">esteśmy świadomi, że używanie darmowego paliwa do ogrzewania może być strategią radzenia sobie z </w:t>
      </w:r>
      <w:r>
        <w:t>ubóstwem energetycznym</w:t>
      </w:r>
      <w:r w:rsidRPr="00960C73">
        <w:t xml:space="preserve">, ale wskaźnik nie pozwala na </w:t>
      </w:r>
      <w:r>
        <w:t>rozróżnienie pomiędzy ubogimi i nieubogimi energetycznie gospodarstwami domowymi</w:t>
      </w:r>
      <w:r w:rsidR="00F53CE2">
        <w:t xml:space="preserve"> wykorzystującymi dostęp do darmowego paliwa grzewczego</w:t>
      </w:r>
      <w:r>
        <w:t>.</w:t>
      </w:r>
    </w:p>
    <w:p w14:paraId="2F04817F" w14:textId="359662BD" w:rsidR="00960C73" w:rsidRPr="00960C73" w:rsidRDefault="00960C73" w:rsidP="00D9053C">
      <w:pPr>
        <w:pStyle w:val="Normal1"/>
      </w:pPr>
      <w:r w:rsidRPr="00960C73">
        <w:t xml:space="preserve">Podsumowując, </w:t>
      </w:r>
      <w:r>
        <w:t>U</w:t>
      </w:r>
      <w:r w:rsidRPr="00960C73">
        <w:t xml:space="preserve">kryte ubóstwo energetyczne jest nieodpowiednie do </w:t>
      </w:r>
      <w:r>
        <w:t>pomiaru</w:t>
      </w:r>
      <w:r w:rsidRPr="00960C73">
        <w:t xml:space="preserve"> u</w:t>
      </w:r>
      <w:r>
        <w:t>bóstwa energetycznego w Polsce i z</w:t>
      </w:r>
      <w:r w:rsidRPr="00960C73">
        <w:t>alecamy</w:t>
      </w:r>
      <w:r>
        <w:t xml:space="preserve"> jego</w:t>
      </w:r>
      <w:r w:rsidRPr="00960C73">
        <w:t xml:space="preserve"> wyłączenie </w:t>
      </w:r>
      <w:r>
        <w:t>z zestawu wskaźników.</w:t>
      </w:r>
    </w:p>
    <w:p w14:paraId="63EC30E0" w14:textId="40B47E4B" w:rsidR="00A6749B" w:rsidRPr="003932C5" w:rsidRDefault="003932C5" w:rsidP="00D9053C">
      <w:pPr>
        <w:pStyle w:val="Normal1"/>
      </w:pPr>
      <w:r w:rsidRPr="003932C5">
        <w:rPr>
          <w:b/>
        </w:rPr>
        <w:t xml:space="preserve">Tabela </w:t>
      </w:r>
      <w:r w:rsidR="00E47F14">
        <w:rPr>
          <w:b/>
        </w:rPr>
        <w:t>5</w:t>
      </w:r>
      <w:r w:rsidRPr="003932C5">
        <w:rPr>
          <w:b/>
        </w:rPr>
        <w:t xml:space="preserve"> Ukryte ubóstwo energetyczne - wyniki dla subpopulacji</w:t>
      </w:r>
    </w:p>
    <w:tbl>
      <w:tblPr>
        <w:tblStyle w:val="Tabela-Siatka"/>
        <w:tblW w:w="0" w:type="auto"/>
        <w:tblBorders>
          <w:insideH w:val="dotted" w:sz="4" w:space="0" w:color="auto"/>
          <w:insideV w:val="dotted" w:sz="4" w:space="0" w:color="auto"/>
        </w:tblBorders>
        <w:tblLook w:val="04A0" w:firstRow="1" w:lastRow="0" w:firstColumn="1" w:lastColumn="0" w:noHBand="0" w:noVBand="1"/>
      </w:tblPr>
      <w:tblGrid>
        <w:gridCol w:w="2346"/>
        <w:gridCol w:w="3880"/>
        <w:gridCol w:w="1399"/>
        <w:gridCol w:w="1174"/>
      </w:tblGrid>
      <w:tr w:rsidR="00D000C6" w14:paraId="4CD6F4B5" w14:textId="77777777" w:rsidTr="00D000C6">
        <w:tc>
          <w:tcPr>
            <w:tcW w:w="6226" w:type="dxa"/>
            <w:gridSpan w:val="2"/>
            <w:tcBorders>
              <w:top w:val="single" w:sz="4" w:space="0" w:color="000000" w:themeColor="text1"/>
              <w:bottom w:val="single" w:sz="4" w:space="0" w:color="000000" w:themeColor="text1"/>
              <w:right w:val="single" w:sz="4" w:space="0" w:color="000000" w:themeColor="text1"/>
            </w:tcBorders>
            <w:shd w:val="clear" w:color="auto" w:fill="FFFF00"/>
            <w:vAlign w:val="center"/>
          </w:tcPr>
          <w:p w14:paraId="771BEA6C" w14:textId="77777777" w:rsidR="00D000C6" w:rsidRPr="0004121B" w:rsidRDefault="00D000C6" w:rsidP="000D082D">
            <w:pPr>
              <w:autoSpaceDE w:val="0"/>
              <w:autoSpaceDN w:val="0"/>
              <w:adjustRightInd w:val="0"/>
              <w:spacing w:after="0" w:line="276" w:lineRule="auto"/>
              <w:jc w:val="center"/>
              <w:rPr>
                <w:rFonts w:cs="Arial"/>
                <w:b/>
                <w:sz w:val="20"/>
                <w:szCs w:val="20"/>
                <w:lang w:val="en-GB"/>
              </w:rPr>
            </w:pPr>
            <w:r w:rsidRPr="00DC4EDA">
              <w:rPr>
                <w:rFonts w:cs="Arial"/>
                <w:b/>
                <w:sz w:val="20"/>
                <w:szCs w:val="20"/>
                <w:lang w:val="en-GB"/>
              </w:rPr>
              <w:t>Hidden energy poverty</w:t>
            </w:r>
          </w:p>
        </w:tc>
        <w:tc>
          <w:tcPr>
            <w:tcW w:w="1399" w:type="dxa"/>
            <w:tcBorders>
              <w:top w:val="single" w:sz="4" w:space="0" w:color="000000" w:themeColor="text1"/>
              <w:left w:val="single" w:sz="4" w:space="0" w:color="000000" w:themeColor="text1"/>
              <w:bottom w:val="single" w:sz="4" w:space="0" w:color="000000" w:themeColor="text1"/>
            </w:tcBorders>
            <w:shd w:val="clear" w:color="auto" w:fill="FFFF00"/>
          </w:tcPr>
          <w:p w14:paraId="04FD2467" w14:textId="7D257AEC"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Wartość</w:t>
            </w:r>
          </w:p>
        </w:tc>
        <w:tc>
          <w:tcPr>
            <w:tcW w:w="1174" w:type="dxa"/>
            <w:tcBorders>
              <w:top w:val="single" w:sz="4" w:space="0" w:color="000000" w:themeColor="text1"/>
              <w:bottom w:val="single" w:sz="4" w:space="0" w:color="000000" w:themeColor="text1"/>
            </w:tcBorders>
            <w:shd w:val="clear" w:color="auto" w:fill="FFFF00"/>
          </w:tcPr>
          <w:p w14:paraId="7E6A3DEF" w14:textId="1E9C0A17"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Udział [%]</w:t>
            </w:r>
          </w:p>
        </w:tc>
      </w:tr>
      <w:tr w:rsidR="002E5705" w14:paraId="70394407" w14:textId="77777777" w:rsidTr="00D000C6">
        <w:tc>
          <w:tcPr>
            <w:tcW w:w="6226" w:type="dxa"/>
            <w:gridSpan w:val="2"/>
            <w:tcBorders>
              <w:top w:val="single" w:sz="4" w:space="0" w:color="000000" w:themeColor="text1"/>
              <w:bottom w:val="dotted" w:sz="4" w:space="0" w:color="auto"/>
              <w:right w:val="single" w:sz="4" w:space="0" w:color="000000" w:themeColor="text1"/>
            </w:tcBorders>
            <w:vAlign w:val="center"/>
          </w:tcPr>
          <w:p w14:paraId="6D769965" w14:textId="59664D2B" w:rsidR="002E5705" w:rsidRDefault="002E570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Gospodarstwa domowe</w:t>
            </w:r>
          </w:p>
        </w:tc>
        <w:tc>
          <w:tcPr>
            <w:tcW w:w="1399" w:type="dxa"/>
            <w:tcBorders>
              <w:top w:val="single" w:sz="4" w:space="0" w:color="000000" w:themeColor="text1"/>
              <w:left w:val="single" w:sz="4" w:space="0" w:color="000000" w:themeColor="text1"/>
            </w:tcBorders>
          </w:tcPr>
          <w:p w14:paraId="79E7A921"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A30F4F">
              <w:rPr>
                <w:rFonts w:cs="Arial"/>
                <w:sz w:val="20"/>
                <w:szCs w:val="20"/>
                <w:lang w:val="en-GB"/>
              </w:rPr>
              <w:t>2</w:t>
            </w:r>
            <w:r>
              <w:rPr>
                <w:rFonts w:cs="Arial"/>
                <w:sz w:val="20"/>
                <w:szCs w:val="20"/>
                <w:lang w:val="en-GB"/>
              </w:rPr>
              <w:t> </w:t>
            </w:r>
            <w:r w:rsidRPr="00A30F4F">
              <w:rPr>
                <w:rFonts w:cs="Arial"/>
                <w:sz w:val="20"/>
                <w:szCs w:val="20"/>
                <w:lang w:val="en-GB"/>
              </w:rPr>
              <w:t>799</w:t>
            </w:r>
            <w:r>
              <w:rPr>
                <w:rFonts w:cs="Arial"/>
                <w:sz w:val="20"/>
                <w:szCs w:val="20"/>
                <w:lang w:val="en-GB"/>
              </w:rPr>
              <w:t xml:space="preserve"> </w:t>
            </w:r>
            <w:r w:rsidRPr="00A30F4F">
              <w:rPr>
                <w:rFonts w:cs="Arial"/>
                <w:sz w:val="20"/>
                <w:szCs w:val="20"/>
                <w:lang w:val="en-GB"/>
              </w:rPr>
              <w:t>273</w:t>
            </w:r>
          </w:p>
        </w:tc>
        <w:tc>
          <w:tcPr>
            <w:tcW w:w="1174" w:type="dxa"/>
            <w:tcBorders>
              <w:top w:val="single" w:sz="4" w:space="0" w:color="000000" w:themeColor="text1"/>
            </w:tcBorders>
          </w:tcPr>
          <w:p w14:paraId="4750577D" w14:textId="6338B5D5" w:rsidR="002E5705" w:rsidRPr="00804BFA" w:rsidRDefault="002E5705">
            <w:pPr>
              <w:autoSpaceDE w:val="0"/>
              <w:autoSpaceDN w:val="0"/>
              <w:adjustRightInd w:val="0"/>
              <w:spacing w:after="0" w:line="276" w:lineRule="auto"/>
              <w:jc w:val="center"/>
              <w:rPr>
                <w:rFonts w:cs="Arial"/>
                <w:sz w:val="20"/>
                <w:szCs w:val="20"/>
                <w:lang w:val="en-GB"/>
              </w:rPr>
            </w:pPr>
            <w:r w:rsidRPr="00FB4648">
              <w:rPr>
                <w:rFonts w:cs="Arial"/>
                <w:sz w:val="20"/>
                <w:szCs w:val="20"/>
                <w:lang w:val="en-GB"/>
              </w:rPr>
              <w:t>21</w:t>
            </w:r>
            <w:r w:rsidR="00E47F14">
              <w:rPr>
                <w:rFonts w:cs="Arial"/>
                <w:sz w:val="20"/>
                <w:szCs w:val="20"/>
                <w:lang w:val="en-GB"/>
              </w:rPr>
              <w:t>,</w:t>
            </w:r>
            <w:r w:rsidRPr="00FB4648">
              <w:rPr>
                <w:rFonts w:cs="Arial"/>
                <w:sz w:val="20"/>
                <w:szCs w:val="20"/>
                <w:lang w:val="en-GB"/>
              </w:rPr>
              <w:t>0</w:t>
            </w:r>
          </w:p>
        </w:tc>
      </w:tr>
      <w:tr w:rsidR="002E5705" w14:paraId="1BD96026" w14:textId="77777777" w:rsidTr="00D000C6">
        <w:tc>
          <w:tcPr>
            <w:tcW w:w="6226" w:type="dxa"/>
            <w:gridSpan w:val="2"/>
            <w:tcBorders>
              <w:top w:val="dotted" w:sz="4" w:space="0" w:color="auto"/>
              <w:bottom w:val="dotted" w:sz="4" w:space="0" w:color="auto"/>
              <w:right w:val="single" w:sz="4" w:space="0" w:color="000000" w:themeColor="text1"/>
            </w:tcBorders>
            <w:vAlign w:val="center"/>
          </w:tcPr>
          <w:p w14:paraId="5FF3B6C7" w14:textId="7DA9E3C8" w:rsidR="002E5705" w:rsidRDefault="002E570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jednorodzinne</w:t>
            </w:r>
          </w:p>
        </w:tc>
        <w:tc>
          <w:tcPr>
            <w:tcW w:w="1399" w:type="dxa"/>
            <w:tcBorders>
              <w:left w:val="single" w:sz="4" w:space="0" w:color="000000" w:themeColor="text1"/>
              <w:bottom w:val="dotted" w:sz="4" w:space="0" w:color="auto"/>
            </w:tcBorders>
          </w:tcPr>
          <w:p w14:paraId="23B7E269" w14:textId="77777777" w:rsidR="002E5705" w:rsidRPr="00A30F4F" w:rsidRDefault="002E5705" w:rsidP="000D082D">
            <w:pPr>
              <w:autoSpaceDE w:val="0"/>
              <w:autoSpaceDN w:val="0"/>
              <w:adjustRightInd w:val="0"/>
              <w:spacing w:after="0" w:line="276" w:lineRule="auto"/>
              <w:jc w:val="center"/>
              <w:rPr>
                <w:rFonts w:cs="Arial"/>
                <w:sz w:val="20"/>
                <w:szCs w:val="20"/>
                <w:lang w:val="en-GB"/>
              </w:rPr>
            </w:pPr>
            <w:r w:rsidRPr="00A30F4F">
              <w:rPr>
                <w:sz w:val="20"/>
                <w:szCs w:val="20"/>
              </w:rPr>
              <w:t>1 775 663</w:t>
            </w:r>
          </w:p>
        </w:tc>
        <w:tc>
          <w:tcPr>
            <w:tcW w:w="1174" w:type="dxa"/>
            <w:tcBorders>
              <w:bottom w:val="dotted" w:sz="4" w:space="0" w:color="auto"/>
            </w:tcBorders>
          </w:tcPr>
          <w:p w14:paraId="6075A21F" w14:textId="3F48D137" w:rsidR="002E5705" w:rsidRPr="00FB4648" w:rsidRDefault="002E5705">
            <w:pPr>
              <w:autoSpaceDE w:val="0"/>
              <w:autoSpaceDN w:val="0"/>
              <w:adjustRightInd w:val="0"/>
              <w:spacing w:after="0" w:line="276" w:lineRule="auto"/>
              <w:jc w:val="center"/>
              <w:rPr>
                <w:rFonts w:cs="Arial"/>
                <w:sz w:val="20"/>
                <w:szCs w:val="20"/>
                <w:lang w:val="en-GB"/>
              </w:rPr>
            </w:pPr>
            <w:r w:rsidRPr="00FB4648">
              <w:rPr>
                <w:sz w:val="20"/>
                <w:szCs w:val="20"/>
              </w:rPr>
              <w:t>29</w:t>
            </w:r>
            <w:r w:rsidR="00F53CE2">
              <w:rPr>
                <w:sz w:val="20"/>
                <w:szCs w:val="20"/>
              </w:rPr>
              <w:t>,</w:t>
            </w:r>
            <w:r w:rsidRPr="00FB4648">
              <w:rPr>
                <w:sz w:val="20"/>
                <w:szCs w:val="20"/>
              </w:rPr>
              <w:t>4</w:t>
            </w:r>
          </w:p>
        </w:tc>
      </w:tr>
      <w:tr w:rsidR="002E5705" w14:paraId="5EF1777B" w14:textId="77777777" w:rsidTr="00D000C6">
        <w:tc>
          <w:tcPr>
            <w:tcW w:w="6226" w:type="dxa"/>
            <w:gridSpan w:val="2"/>
            <w:tcBorders>
              <w:top w:val="dotted" w:sz="4" w:space="0" w:color="auto"/>
              <w:bottom w:val="single" w:sz="4" w:space="0" w:color="000000" w:themeColor="text1"/>
              <w:right w:val="single" w:sz="4" w:space="0" w:color="000000" w:themeColor="text1"/>
            </w:tcBorders>
            <w:vAlign w:val="center"/>
          </w:tcPr>
          <w:p w14:paraId="7D4A3FF5" w14:textId="4BA5DE7F" w:rsidR="002E5705" w:rsidRDefault="002E570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wielorodzinne</w:t>
            </w:r>
          </w:p>
        </w:tc>
        <w:tc>
          <w:tcPr>
            <w:tcW w:w="1399" w:type="dxa"/>
            <w:tcBorders>
              <w:top w:val="dotted" w:sz="4" w:space="0" w:color="auto"/>
              <w:left w:val="single" w:sz="4" w:space="0" w:color="000000" w:themeColor="text1"/>
              <w:bottom w:val="single" w:sz="4" w:space="0" w:color="000000" w:themeColor="text1"/>
            </w:tcBorders>
          </w:tcPr>
          <w:p w14:paraId="24849603" w14:textId="77777777" w:rsidR="002E5705" w:rsidRPr="00A30F4F" w:rsidRDefault="002E5705" w:rsidP="000D082D">
            <w:pPr>
              <w:autoSpaceDE w:val="0"/>
              <w:autoSpaceDN w:val="0"/>
              <w:adjustRightInd w:val="0"/>
              <w:spacing w:after="0" w:line="276" w:lineRule="auto"/>
              <w:jc w:val="center"/>
              <w:rPr>
                <w:rFonts w:cs="Arial"/>
                <w:sz w:val="20"/>
                <w:szCs w:val="20"/>
                <w:lang w:val="en-GB"/>
              </w:rPr>
            </w:pPr>
            <w:r w:rsidRPr="00A30F4F">
              <w:rPr>
                <w:sz w:val="20"/>
                <w:szCs w:val="20"/>
              </w:rPr>
              <w:t>1 023 610</w:t>
            </w:r>
          </w:p>
        </w:tc>
        <w:tc>
          <w:tcPr>
            <w:tcW w:w="1174" w:type="dxa"/>
            <w:tcBorders>
              <w:top w:val="dotted" w:sz="4" w:space="0" w:color="auto"/>
              <w:bottom w:val="single" w:sz="4" w:space="0" w:color="000000" w:themeColor="text1"/>
            </w:tcBorders>
          </w:tcPr>
          <w:p w14:paraId="0D7BBC3F" w14:textId="71A3AE28" w:rsidR="002E5705" w:rsidRPr="00FB4648" w:rsidRDefault="002E5705" w:rsidP="00E47F14">
            <w:pPr>
              <w:autoSpaceDE w:val="0"/>
              <w:autoSpaceDN w:val="0"/>
              <w:adjustRightInd w:val="0"/>
              <w:spacing w:after="0" w:line="276" w:lineRule="auto"/>
              <w:jc w:val="center"/>
              <w:rPr>
                <w:rFonts w:cs="Arial"/>
                <w:sz w:val="20"/>
                <w:szCs w:val="20"/>
                <w:lang w:val="en-GB"/>
              </w:rPr>
            </w:pPr>
            <w:r w:rsidRPr="00FB4648">
              <w:rPr>
                <w:sz w:val="20"/>
                <w:szCs w:val="20"/>
              </w:rPr>
              <w:t>14</w:t>
            </w:r>
            <w:r w:rsidR="00E47F14">
              <w:rPr>
                <w:sz w:val="20"/>
                <w:szCs w:val="20"/>
              </w:rPr>
              <w:t>,</w:t>
            </w:r>
            <w:r w:rsidRPr="00FB4648">
              <w:rPr>
                <w:sz w:val="20"/>
                <w:szCs w:val="20"/>
              </w:rPr>
              <w:t>1</w:t>
            </w:r>
          </w:p>
        </w:tc>
      </w:tr>
      <w:tr w:rsidR="002E5705" w:rsidRPr="000D59EA" w14:paraId="6B8E1B37" w14:textId="77777777" w:rsidTr="00961F49">
        <w:tc>
          <w:tcPr>
            <w:tcW w:w="2346" w:type="dxa"/>
            <w:vMerge w:val="restart"/>
            <w:tcBorders>
              <w:top w:val="single" w:sz="4" w:space="0" w:color="000000" w:themeColor="text1"/>
              <w:bottom w:val="dotted" w:sz="4" w:space="0" w:color="auto"/>
            </w:tcBorders>
            <w:vAlign w:val="center"/>
          </w:tcPr>
          <w:p w14:paraId="7081852B" w14:textId="57E89C4B" w:rsidR="002E5705" w:rsidRPr="00BC6FBB" w:rsidRDefault="002E5705"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Domy jednorodzinne z uwzględnieniem roku budowy</w:t>
            </w:r>
          </w:p>
        </w:tc>
        <w:tc>
          <w:tcPr>
            <w:tcW w:w="3880" w:type="dxa"/>
            <w:tcBorders>
              <w:top w:val="single" w:sz="4" w:space="0" w:color="000000" w:themeColor="text1"/>
              <w:bottom w:val="dotted" w:sz="4" w:space="0" w:color="auto"/>
              <w:right w:val="single" w:sz="4" w:space="0" w:color="000000" w:themeColor="text1"/>
            </w:tcBorders>
            <w:vAlign w:val="bottom"/>
          </w:tcPr>
          <w:p w14:paraId="33DEBA82" w14:textId="1BD6F510" w:rsidR="002E5705" w:rsidRDefault="002E570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9" w:type="dxa"/>
            <w:tcBorders>
              <w:top w:val="single" w:sz="4" w:space="0" w:color="000000" w:themeColor="text1"/>
              <w:left w:val="single" w:sz="4" w:space="0" w:color="000000" w:themeColor="text1"/>
            </w:tcBorders>
          </w:tcPr>
          <w:p w14:paraId="02A5D8AF"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F10E38">
              <w:rPr>
                <w:sz w:val="20"/>
                <w:szCs w:val="20"/>
              </w:rPr>
              <w:t>276 507</w:t>
            </w:r>
          </w:p>
        </w:tc>
        <w:tc>
          <w:tcPr>
            <w:tcW w:w="1174" w:type="dxa"/>
            <w:tcBorders>
              <w:top w:val="single" w:sz="4" w:space="0" w:color="000000" w:themeColor="text1"/>
            </w:tcBorders>
          </w:tcPr>
          <w:p w14:paraId="2F7661AE" w14:textId="24C88D1D" w:rsidR="002E5705" w:rsidRPr="00804BFA" w:rsidRDefault="002E5705" w:rsidP="00E47F14">
            <w:pPr>
              <w:autoSpaceDE w:val="0"/>
              <w:autoSpaceDN w:val="0"/>
              <w:adjustRightInd w:val="0"/>
              <w:spacing w:after="0" w:line="276" w:lineRule="auto"/>
              <w:jc w:val="center"/>
              <w:rPr>
                <w:rFonts w:cs="Arial"/>
                <w:sz w:val="20"/>
                <w:szCs w:val="20"/>
                <w:lang w:val="en-GB"/>
              </w:rPr>
            </w:pPr>
            <w:r w:rsidRPr="00F10E38">
              <w:rPr>
                <w:sz w:val="20"/>
                <w:szCs w:val="20"/>
              </w:rPr>
              <w:t>26</w:t>
            </w:r>
            <w:r w:rsidR="00E47F14">
              <w:rPr>
                <w:sz w:val="20"/>
                <w:szCs w:val="20"/>
              </w:rPr>
              <w:t>,</w:t>
            </w:r>
            <w:r w:rsidRPr="00F10E38">
              <w:rPr>
                <w:sz w:val="20"/>
                <w:szCs w:val="20"/>
              </w:rPr>
              <w:t>6</w:t>
            </w:r>
          </w:p>
        </w:tc>
      </w:tr>
      <w:tr w:rsidR="002E5705" w:rsidRPr="000D59EA" w14:paraId="2FC74620" w14:textId="77777777" w:rsidTr="00961F49">
        <w:tc>
          <w:tcPr>
            <w:tcW w:w="2346" w:type="dxa"/>
            <w:vMerge/>
            <w:tcBorders>
              <w:top w:val="dotted" w:sz="4" w:space="0" w:color="auto"/>
              <w:bottom w:val="dotted" w:sz="4" w:space="0" w:color="auto"/>
            </w:tcBorders>
            <w:vAlign w:val="center"/>
          </w:tcPr>
          <w:p w14:paraId="45B6F701" w14:textId="77777777" w:rsidR="002E5705" w:rsidRDefault="002E5705" w:rsidP="000D082D">
            <w:pPr>
              <w:autoSpaceDE w:val="0"/>
              <w:autoSpaceDN w:val="0"/>
              <w:adjustRightInd w:val="0"/>
              <w:spacing w:after="0" w:line="276" w:lineRule="auto"/>
              <w:jc w:val="center"/>
              <w:rPr>
                <w:rFonts w:cs="Arial"/>
                <w:sz w:val="20"/>
                <w:szCs w:val="20"/>
                <w:lang w:val="en-GB"/>
              </w:rPr>
            </w:pPr>
          </w:p>
        </w:tc>
        <w:tc>
          <w:tcPr>
            <w:tcW w:w="3880" w:type="dxa"/>
            <w:tcBorders>
              <w:top w:val="dotted" w:sz="4" w:space="0" w:color="auto"/>
              <w:bottom w:val="dotted" w:sz="4" w:space="0" w:color="auto"/>
              <w:right w:val="single" w:sz="4" w:space="0" w:color="000000" w:themeColor="text1"/>
            </w:tcBorders>
            <w:vAlign w:val="bottom"/>
          </w:tcPr>
          <w:p w14:paraId="172EBC1B" w14:textId="073C1732" w:rsidR="002E5705" w:rsidRDefault="002E570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9" w:type="dxa"/>
            <w:tcBorders>
              <w:left w:val="single" w:sz="4" w:space="0" w:color="000000" w:themeColor="text1"/>
            </w:tcBorders>
          </w:tcPr>
          <w:p w14:paraId="76F30A02"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F10E38">
              <w:rPr>
                <w:sz w:val="20"/>
                <w:szCs w:val="20"/>
              </w:rPr>
              <w:t>248 248</w:t>
            </w:r>
          </w:p>
        </w:tc>
        <w:tc>
          <w:tcPr>
            <w:tcW w:w="1174" w:type="dxa"/>
          </w:tcPr>
          <w:p w14:paraId="64D3E363" w14:textId="1F5C55D2" w:rsidR="002E5705" w:rsidRPr="00804BFA" w:rsidRDefault="002E5705" w:rsidP="00E47F14">
            <w:pPr>
              <w:autoSpaceDE w:val="0"/>
              <w:autoSpaceDN w:val="0"/>
              <w:adjustRightInd w:val="0"/>
              <w:spacing w:after="0" w:line="276" w:lineRule="auto"/>
              <w:jc w:val="center"/>
              <w:rPr>
                <w:rFonts w:cs="Arial"/>
                <w:sz w:val="20"/>
                <w:szCs w:val="20"/>
                <w:lang w:val="en-GB"/>
              </w:rPr>
            </w:pPr>
            <w:r w:rsidRPr="00F10E38">
              <w:rPr>
                <w:sz w:val="20"/>
                <w:szCs w:val="20"/>
              </w:rPr>
              <w:t>28</w:t>
            </w:r>
            <w:r w:rsidR="00E47F14">
              <w:rPr>
                <w:sz w:val="20"/>
                <w:szCs w:val="20"/>
              </w:rPr>
              <w:t>,</w:t>
            </w:r>
            <w:r w:rsidRPr="00F10E38">
              <w:rPr>
                <w:sz w:val="20"/>
                <w:szCs w:val="20"/>
              </w:rPr>
              <w:t>5</w:t>
            </w:r>
          </w:p>
        </w:tc>
      </w:tr>
      <w:tr w:rsidR="002E5705" w:rsidRPr="000D59EA" w14:paraId="3E37689C" w14:textId="77777777" w:rsidTr="00961F49">
        <w:tc>
          <w:tcPr>
            <w:tcW w:w="2346" w:type="dxa"/>
            <w:vMerge/>
            <w:tcBorders>
              <w:top w:val="dotted" w:sz="4" w:space="0" w:color="auto"/>
              <w:bottom w:val="dotted" w:sz="4" w:space="0" w:color="auto"/>
            </w:tcBorders>
            <w:vAlign w:val="center"/>
          </w:tcPr>
          <w:p w14:paraId="0ADA0874" w14:textId="77777777" w:rsidR="002E5705" w:rsidRDefault="002E5705" w:rsidP="000D082D">
            <w:pPr>
              <w:autoSpaceDE w:val="0"/>
              <w:autoSpaceDN w:val="0"/>
              <w:adjustRightInd w:val="0"/>
              <w:spacing w:after="0" w:line="276" w:lineRule="auto"/>
              <w:jc w:val="center"/>
              <w:rPr>
                <w:rFonts w:cs="Arial"/>
                <w:sz w:val="20"/>
                <w:szCs w:val="20"/>
                <w:lang w:val="en-GB"/>
              </w:rPr>
            </w:pPr>
          </w:p>
        </w:tc>
        <w:tc>
          <w:tcPr>
            <w:tcW w:w="3880" w:type="dxa"/>
            <w:tcBorders>
              <w:top w:val="dotted" w:sz="4" w:space="0" w:color="auto"/>
              <w:bottom w:val="dotted" w:sz="4" w:space="0" w:color="auto"/>
              <w:right w:val="single" w:sz="4" w:space="0" w:color="000000" w:themeColor="text1"/>
            </w:tcBorders>
            <w:vAlign w:val="bottom"/>
          </w:tcPr>
          <w:p w14:paraId="698300E9" w14:textId="2609B452" w:rsidR="002E5705" w:rsidRDefault="002E570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9" w:type="dxa"/>
            <w:tcBorders>
              <w:left w:val="single" w:sz="4" w:space="0" w:color="000000" w:themeColor="text1"/>
            </w:tcBorders>
          </w:tcPr>
          <w:p w14:paraId="61C6E261"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F10E38">
              <w:rPr>
                <w:sz w:val="20"/>
                <w:szCs w:val="20"/>
              </w:rPr>
              <w:t>575 320</w:t>
            </w:r>
          </w:p>
        </w:tc>
        <w:tc>
          <w:tcPr>
            <w:tcW w:w="1174" w:type="dxa"/>
          </w:tcPr>
          <w:p w14:paraId="25E7871F" w14:textId="40754EBE" w:rsidR="002E5705" w:rsidRPr="00804BFA" w:rsidRDefault="002E5705" w:rsidP="00E47F14">
            <w:pPr>
              <w:autoSpaceDE w:val="0"/>
              <w:autoSpaceDN w:val="0"/>
              <w:adjustRightInd w:val="0"/>
              <w:spacing w:after="0" w:line="276" w:lineRule="auto"/>
              <w:jc w:val="center"/>
              <w:rPr>
                <w:rFonts w:cs="Arial"/>
                <w:sz w:val="20"/>
                <w:szCs w:val="20"/>
                <w:lang w:val="en-GB"/>
              </w:rPr>
            </w:pPr>
            <w:r w:rsidRPr="00F10E38">
              <w:rPr>
                <w:sz w:val="20"/>
                <w:szCs w:val="20"/>
              </w:rPr>
              <w:t>29</w:t>
            </w:r>
            <w:r w:rsidR="00E47F14">
              <w:rPr>
                <w:sz w:val="20"/>
                <w:szCs w:val="20"/>
              </w:rPr>
              <w:t>,</w:t>
            </w:r>
            <w:r w:rsidRPr="00F10E38">
              <w:rPr>
                <w:sz w:val="20"/>
                <w:szCs w:val="20"/>
              </w:rPr>
              <w:t>6</w:t>
            </w:r>
          </w:p>
        </w:tc>
      </w:tr>
      <w:tr w:rsidR="002E5705" w:rsidRPr="000D59EA" w14:paraId="29DBE7AE" w14:textId="77777777" w:rsidTr="00961F49">
        <w:tc>
          <w:tcPr>
            <w:tcW w:w="2346" w:type="dxa"/>
            <w:vMerge/>
            <w:tcBorders>
              <w:top w:val="dotted" w:sz="4" w:space="0" w:color="auto"/>
              <w:bottom w:val="dotted" w:sz="4" w:space="0" w:color="auto"/>
            </w:tcBorders>
            <w:vAlign w:val="center"/>
          </w:tcPr>
          <w:p w14:paraId="6EB4F2EC" w14:textId="77777777" w:rsidR="002E5705" w:rsidRDefault="002E5705" w:rsidP="000D082D">
            <w:pPr>
              <w:autoSpaceDE w:val="0"/>
              <w:autoSpaceDN w:val="0"/>
              <w:adjustRightInd w:val="0"/>
              <w:spacing w:after="0" w:line="276" w:lineRule="auto"/>
              <w:jc w:val="center"/>
              <w:rPr>
                <w:rFonts w:cs="Arial"/>
                <w:sz w:val="20"/>
                <w:szCs w:val="20"/>
                <w:lang w:val="en-GB"/>
              </w:rPr>
            </w:pPr>
          </w:p>
        </w:tc>
        <w:tc>
          <w:tcPr>
            <w:tcW w:w="3880" w:type="dxa"/>
            <w:tcBorders>
              <w:top w:val="dotted" w:sz="4" w:space="0" w:color="auto"/>
              <w:bottom w:val="dotted" w:sz="4" w:space="0" w:color="auto"/>
              <w:right w:val="single" w:sz="4" w:space="0" w:color="000000" w:themeColor="text1"/>
            </w:tcBorders>
            <w:vAlign w:val="bottom"/>
          </w:tcPr>
          <w:p w14:paraId="2ED8482A" w14:textId="7DA56F14" w:rsidR="002E5705" w:rsidRDefault="002E570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9" w:type="dxa"/>
            <w:tcBorders>
              <w:left w:val="single" w:sz="4" w:space="0" w:color="000000" w:themeColor="text1"/>
            </w:tcBorders>
          </w:tcPr>
          <w:p w14:paraId="3A55339F"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F10E38">
              <w:rPr>
                <w:sz w:val="20"/>
                <w:szCs w:val="20"/>
              </w:rPr>
              <w:t>359 433</w:t>
            </w:r>
          </w:p>
        </w:tc>
        <w:tc>
          <w:tcPr>
            <w:tcW w:w="1174" w:type="dxa"/>
          </w:tcPr>
          <w:p w14:paraId="71AA35B9" w14:textId="03D09AAD" w:rsidR="002E5705" w:rsidRPr="00804BFA" w:rsidRDefault="002E5705" w:rsidP="00E47F14">
            <w:pPr>
              <w:autoSpaceDE w:val="0"/>
              <w:autoSpaceDN w:val="0"/>
              <w:adjustRightInd w:val="0"/>
              <w:spacing w:after="0" w:line="276" w:lineRule="auto"/>
              <w:jc w:val="center"/>
              <w:rPr>
                <w:rFonts w:cs="Arial"/>
                <w:sz w:val="20"/>
                <w:szCs w:val="20"/>
                <w:lang w:val="en-GB"/>
              </w:rPr>
            </w:pPr>
            <w:r w:rsidRPr="00F10E38">
              <w:rPr>
                <w:sz w:val="20"/>
                <w:szCs w:val="20"/>
              </w:rPr>
              <w:t>29</w:t>
            </w:r>
            <w:r w:rsidR="00E47F14">
              <w:rPr>
                <w:sz w:val="20"/>
                <w:szCs w:val="20"/>
              </w:rPr>
              <w:t>,</w:t>
            </w:r>
            <w:r w:rsidRPr="00F10E38">
              <w:rPr>
                <w:sz w:val="20"/>
                <w:szCs w:val="20"/>
              </w:rPr>
              <w:t>2</w:t>
            </w:r>
          </w:p>
        </w:tc>
      </w:tr>
      <w:tr w:rsidR="002E5705" w:rsidRPr="000D59EA" w14:paraId="590964F8" w14:textId="77777777" w:rsidTr="00961F49">
        <w:tc>
          <w:tcPr>
            <w:tcW w:w="2346" w:type="dxa"/>
            <w:vMerge/>
            <w:tcBorders>
              <w:top w:val="dotted" w:sz="4" w:space="0" w:color="auto"/>
              <w:bottom w:val="dotted" w:sz="4" w:space="0" w:color="auto"/>
            </w:tcBorders>
            <w:vAlign w:val="center"/>
          </w:tcPr>
          <w:p w14:paraId="7453C038" w14:textId="77777777" w:rsidR="002E5705" w:rsidRDefault="002E5705" w:rsidP="000D082D">
            <w:pPr>
              <w:autoSpaceDE w:val="0"/>
              <w:autoSpaceDN w:val="0"/>
              <w:adjustRightInd w:val="0"/>
              <w:spacing w:after="0" w:line="276" w:lineRule="auto"/>
              <w:jc w:val="center"/>
              <w:rPr>
                <w:rFonts w:cs="Arial"/>
                <w:sz w:val="20"/>
                <w:szCs w:val="20"/>
                <w:lang w:val="en-GB"/>
              </w:rPr>
            </w:pPr>
          </w:p>
        </w:tc>
        <w:tc>
          <w:tcPr>
            <w:tcW w:w="3880" w:type="dxa"/>
            <w:tcBorders>
              <w:top w:val="dotted" w:sz="4" w:space="0" w:color="auto"/>
              <w:bottom w:val="dotted" w:sz="4" w:space="0" w:color="auto"/>
              <w:right w:val="single" w:sz="4" w:space="0" w:color="000000" w:themeColor="text1"/>
            </w:tcBorders>
            <w:vAlign w:val="bottom"/>
          </w:tcPr>
          <w:p w14:paraId="4C022585" w14:textId="677ABB8D" w:rsidR="002E5705" w:rsidRDefault="002E570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9" w:type="dxa"/>
            <w:tcBorders>
              <w:left w:val="single" w:sz="4" w:space="0" w:color="000000" w:themeColor="text1"/>
            </w:tcBorders>
          </w:tcPr>
          <w:p w14:paraId="09663EDB"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F10E38">
              <w:rPr>
                <w:sz w:val="20"/>
                <w:szCs w:val="20"/>
              </w:rPr>
              <w:t>184 785</w:t>
            </w:r>
          </w:p>
        </w:tc>
        <w:tc>
          <w:tcPr>
            <w:tcW w:w="1174" w:type="dxa"/>
          </w:tcPr>
          <w:p w14:paraId="3285FB60" w14:textId="1BC67B88" w:rsidR="002E5705" w:rsidRPr="00804BFA" w:rsidRDefault="002E5705" w:rsidP="00E47F14">
            <w:pPr>
              <w:autoSpaceDE w:val="0"/>
              <w:autoSpaceDN w:val="0"/>
              <w:adjustRightInd w:val="0"/>
              <w:spacing w:after="0" w:line="276" w:lineRule="auto"/>
              <w:jc w:val="center"/>
              <w:rPr>
                <w:rFonts w:cs="Arial"/>
                <w:sz w:val="20"/>
                <w:szCs w:val="20"/>
                <w:lang w:val="en-GB"/>
              </w:rPr>
            </w:pPr>
            <w:r w:rsidRPr="00F10E38">
              <w:rPr>
                <w:sz w:val="20"/>
                <w:szCs w:val="20"/>
              </w:rPr>
              <w:t>31</w:t>
            </w:r>
            <w:r w:rsidR="00E47F14">
              <w:rPr>
                <w:sz w:val="20"/>
                <w:szCs w:val="20"/>
              </w:rPr>
              <w:t>,</w:t>
            </w:r>
            <w:r w:rsidRPr="00F10E38">
              <w:rPr>
                <w:sz w:val="20"/>
                <w:szCs w:val="20"/>
              </w:rPr>
              <w:t>6</w:t>
            </w:r>
          </w:p>
        </w:tc>
      </w:tr>
      <w:tr w:rsidR="002E5705" w:rsidRPr="000D59EA" w14:paraId="6F9D8BD7" w14:textId="77777777" w:rsidTr="00961F49">
        <w:tc>
          <w:tcPr>
            <w:tcW w:w="2346" w:type="dxa"/>
            <w:vMerge/>
            <w:tcBorders>
              <w:top w:val="dotted" w:sz="4" w:space="0" w:color="auto"/>
              <w:bottom w:val="single" w:sz="4" w:space="0" w:color="000000"/>
            </w:tcBorders>
            <w:vAlign w:val="center"/>
          </w:tcPr>
          <w:p w14:paraId="587368CA" w14:textId="77777777" w:rsidR="002E5705" w:rsidRDefault="002E5705" w:rsidP="000D082D">
            <w:pPr>
              <w:autoSpaceDE w:val="0"/>
              <w:autoSpaceDN w:val="0"/>
              <w:adjustRightInd w:val="0"/>
              <w:spacing w:after="0" w:line="276" w:lineRule="auto"/>
              <w:jc w:val="center"/>
              <w:rPr>
                <w:rFonts w:cs="Arial"/>
                <w:sz w:val="20"/>
                <w:szCs w:val="20"/>
                <w:lang w:val="en-GB"/>
              </w:rPr>
            </w:pPr>
          </w:p>
        </w:tc>
        <w:tc>
          <w:tcPr>
            <w:tcW w:w="3880" w:type="dxa"/>
            <w:tcBorders>
              <w:top w:val="dotted" w:sz="4" w:space="0" w:color="auto"/>
              <w:bottom w:val="single" w:sz="4" w:space="0" w:color="000000" w:themeColor="text1"/>
              <w:right w:val="single" w:sz="4" w:space="0" w:color="000000" w:themeColor="text1"/>
            </w:tcBorders>
            <w:vAlign w:val="bottom"/>
          </w:tcPr>
          <w:p w14:paraId="5E880065" w14:textId="6382490F" w:rsidR="002E5705" w:rsidRDefault="002E5705"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9" w:type="dxa"/>
            <w:tcBorders>
              <w:left w:val="single" w:sz="4" w:space="0" w:color="000000" w:themeColor="text1"/>
              <w:bottom w:val="single" w:sz="4" w:space="0" w:color="000000" w:themeColor="text1"/>
            </w:tcBorders>
          </w:tcPr>
          <w:p w14:paraId="22841BED"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F10E38">
              <w:rPr>
                <w:sz w:val="20"/>
                <w:szCs w:val="20"/>
              </w:rPr>
              <w:t>131 370</w:t>
            </w:r>
          </w:p>
        </w:tc>
        <w:tc>
          <w:tcPr>
            <w:tcW w:w="1174" w:type="dxa"/>
            <w:tcBorders>
              <w:bottom w:val="single" w:sz="4" w:space="0" w:color="000000" w:themeColor="text1"/>
            </w:tcBorders>
          </w:tcPr>
          <w:p w14:paraId="413028E4" w14:textId="7E6B68C4" w:rsidR="002E5705" w:rsidRPr="00804BFA" w:rsidRDefault="002E5705">
            <w:pPr>
              <w:autoSpaceDE w:val="0"/>
              <w:autoSpaceDN w:val="0"/>
              <w:adjustRightInd w:val="0"/>
              <w:spacing w:after="0" w:line="276" w:lineRule="auto"/>
              <w:jc w:val="center"/>
              <w:rPr>
                <w:rFonts w:cs="Arial"/>
                <w:sz w:val="20"/>
                <w:szCs w:val="20"/>
                <w:lang w:val="en-GB"/>
              </w:rPr>
            </w:pPr>
            <w:r w:rsidRPr="00F10E38">
              <w:rPr>
                <w:sz w:val="20"/>
                <w:szCs w:val="20"/>
              </w:rPr>
              <w:t>36</w:t>
            </w:r>
            <w:r w:rsidR="00E47F14">
              <w:rPr>
                <w:sz w:val="20"/>
                <w:szCs w:val="20"/>
              </w:rPr>
              <w:t>,</w:t>
            </w:r>
            <w:r w:rsidRPr="00F10E38">
              <w:rPr>
                <w:sz w:val="20"/>
                <w:szCs w:val="20"/>
              </w:rPr>
              <w:t>1</w:t>
            </w:r>
          </w:p>
        </w:tc>
      </w:tr>
      <w:tr w:rsidR="002E5705" w14:paraId="53A6339F" w14:textId="77777777" w:rsidTr="00961F49">
        <w:tc>
          <w:tcPr>
            <w:tcW w:w="2346" w:type="dxa"/>
            <w:vMerge w:val="restart"/>
            <w:tcBorders>
              <w:top w:val="single" w:sz="4" w:space="0" w:color="000000" w:themeColor="text1"/>
              <w:bottom w:val="dotted" w:sz="4" w:space="0" w:color="auto"/>
            </w:tcBorders>
            <w:vAlign w:val="center"/>
          </w:tcPr>
          <w:p w14:paraId="0A0AAF38" w14:textId="380DD738" w:rsidR="002E5705" w:rsidRPr="00BC6FBB" w:rsidRDefault="002E5705"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 xml:space="preserve">Domy </w:t>
            </w:r>
            <w:r>
              <w:rPr>
                <w:rFonts w:cs="Arial"/>
                <w:sz w:val="20"/>
                <w:szCs w:val="20"/>
                <w:lang w:val="pl-PL"/>
              </w:rPr>
              <w:t>wielorodzinne</w:t>
            </w:r>
            <w:r w:rsidRPr="00D000C6">
              <w:rPr>
                <w:rFonts w:cs="Arial"/>
                <w:sz w:val="20"/>
                <w:szCs w:val="20"/>
                <w:lang w:val="pl-PL"/>
              </w:rPr>
              <w:t xml:space="preserve"> z uwzględnieniem roku budowy</w:t>
            </w:r>
          </w:p>
        </w:tc>
        <w:tc>
          <w:tcPr>
            <w:tcW w:w="3880" w:type="dxa"/>
            <w:tcBorders>
              <w:top w:val="single" w:sz="4" w:space="0" w:color="000000" w:themeColor="text1"/>
              <w:bottom w:val="dotted" w:sz="4" w:space="0" w:color="auto"/>
              <w:right w:val="single" w:sz="4" w:space="0" w:color="000000" w:themeColor="text1"/>
            </w:tcBorders>
            <w:vAlign w:val="bottom"/>
          </w:tcPr>
          <w:p w14:paraId="56F0B169" w14:textId="667EEDBB" w:rsidR="002E5705" w:rsidRDefault="002E570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9" w:type="dxa"/>
            <w:tcBorders>
              <w:top w:val="single" w:sz="4" w:space="0" w:color="000000" w:themeColor="text1"/>
              <w:left w:val="single" w:sz="4" w:space="0" w:color="000000" w:themeColor="text1"/>
              <w:bottom w:val="dotted" w:sz="4" w:space="0" w:color="auto"/>
            </w:tcBorders>
          </w:tcPr>
          <w:p w14:paraId="6AD30094"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C56502">
              <w:rPr>
                <w:sz w:val="20"/>
                <w:szCs w:val="20"/>
              </w:rPr>
              <w:t>241 236</w:t>
            </w:r>
          </w:p>
        </w:tc>
        <w:tc>
          <w:tcPr>
            <w:tcW w:w="1174" w:type="dxa"/>
            <w:tcBorders>
              <w:top w:val="single" w:sz="4" w:space="0" w:color="000000" w:themeColor="text1"/>
              <w:bottom w:val="dotted" w:sz="4" w:space="0" w:color="auto"/>
            </w:tcBorders>
          </w:tcPr>
          <w:p w14:paraId="3BCA1C23" w14:textId="6A194E21" w:rsidR="002E5705" w:rsidRPr="00804BFA" w:rsidRDefault="002E5705">
            <w:pPr>
              <w:autoSpaceDE w:val="0"/>
              <w:autoSpaceDN w:val="0"/>
              <w:adjustRightInd w:val="0"/>
              <w:spacing w:after="0" w:line="276" w:lineRule="auto"/>
              <w:jc w:val="center"/>
              <w:rPr>
                <w:rFonts w:cs="Arial"/>
                <w:sz w:val="20"/>
                <w:szCs w:val="20"/>
                <w:lang w:val="en-GB"/>
              </w:rPr>
            </w:pPr>
            <w:r w:rsidRPr="00377A7F">
              <w:rPr>
                <w:sz w:val="20"/>
                <w:szCs w:val="20"/>
              </w:rPr>
              <w:t>18</w:t>
            </w:r>
            <w:r w:rsidR="00E47F14">
              <w:rPr>
                <w:sz w:val="20"/>
                <w:szCs w:val="20"/>
              </w:rPr>
              <w:t>,</w:t>
            </w:r>
            <w:r w:rsidRPr="00377A7F">
              <w:rPr>
                <w:sz w:val="20"/>
                <w:szCs w:val="20"/>
              </w:rPr>
              <w:t>0</w:t>
            </w:r>
          </w:p>
        </w:tc>
      </w:tr>
      <w:tr w:rsidR="002E5705" w14:paraId="24DEA39D" w14:textId="77777777" w:rsidTr="00961F49">
        <w:tc>
          <w:tcPr>
            <w:tcW w:w="2346" w:type="dxa"/>
            <w:vMerge/>
            <w:tcBorders>
              <w:top w:val="dotted" w:sz="4" w:space="0" w:color="auto"/>
              <w:bottom w:val="dotted" w:sz="4" w:space="0" w:color="auto"/>
            </w:tcBorders>
            <w:vAlign w:val="center"/>
          </w:tcPr>
          <w:p w14:paraId="2A172A7D" w14:textId="77777777" w:rsidR="002E5705" w:rsidRDefault="002E5705" w:rsidP="000D082D">
            <w:pPr>
              <w:autoSpaceDE w:val="0"/>
              <w:autoSpaceDN w:val="0"/>
              <w:adjustRightInd w:val="0"/>
              <w:spacing w:after="0" w:line="276" w:lineRule="auto"/>
              <w:jc w:val="center"/>
              <w:rPr>
                <w:rFonts w:cs="Arial"/>
                <w:sz w:val="20"/>
                <w:szCs w:val="20"/>
                <w:lang w:val="en-GB"/>
              </w:rPr>
            </w:pPr>
          </w:p>
        </w:tc>
        <w:tc>
          <w:tcPr>
            <w:tcW w:w="3880" w:type="dxa"/>
            <w:tcBorders>
              <w:top w:val="dotted" w:sz="4" w:space="0" w:color="auto"/>
              <w:bottom w:val="dotted" w:sz="4" w:space="0" w:color="auto"/>
              <w:right w:val="single" w:sz="4" w:space="0" w:color="000000" w:themeColor="text1"/>
            </w:tcBorders>
            <w:vAlign w:val="bottom"/>
          </w:tcPr>
          <w:p w14:paraId="55C5BB13" w14:textId="109B3D9B" w:rsidR="002E5705" w:rsidRDefault="002E570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9" w:type="dxa"/>
            <w:tcBorders>
              <w:top w:val="dotted" w:sz="4" w:space="0" w:color="auto"/>
              <w:left w:val="single" w:sz="4" w:space="0" w:color="000000" w:themeColor="text1"/>
            </w:tcBorders>
          </w:tcPr>
          <w:p w14:paraId="1DA6B48D"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C56502">
              <w:rPr>
                <w:sz w:val="20"/>
                <w:szCs w:val="20"/>
              </w:rPr>
              <w:t>117 598</w:t>
            </w:r>
          </w:p>
        </w:tc>
        <w:tc>
          <w:tcPr>
            <w:tcW w:w="1174" w:type="dxa"/>
            <w:tcBorders>
              <w:top w:val="dotted" w:sz="4" w:space="0" w:color="auto"/>
            </w:tcBorders>
          </w:tcPr>
          <w:p w14:paraId="1F69473D" w14:textId="46363149" w:rsidR="002E5705" w:rsidRPr="00804BFA" w:rsidRDefault="002E5705">
            <w:pPr>
              <w:autoSpaceDE w:val="0"/>
              <w:autoSpaceDN w:val="0"/>
              <w:adjustRightInd w:val="0"/>
              <w:spacing w:after="0" w:line="276" w:lineRule="auto"/>
              <w:jc w:val="center"/>
              <w:rPr>
                <w:rFonts w:cs="Arial"/>
                <w:sz w:val="20"/>
                <w:szCs w:val="20"/>
                <w:lang w:val="en-GB"/>
              </w:rPr>
            </w:pPr>
            <w:r w:rsidRPr="00377A7F">
              <w:rPr>
                <w:sz w:val="20"/>
                <w:szCs w:val="20"/>
              </w:rPr>
              <w:t>15</w:t>
            </w:r>
            <w:r w:rsidR="00E47F14">
              <w:rPr>
                <w:sz w:val="20"/>
                <w:szCs w:val="20"/>
              </w:rPr>
              <w:t>,</w:t>
            </w:r>
            <w:r w:rsidRPr="00377A7F">
              <w:rPr>
                <w:sz w:val="20"/>
                <w:szCs w:val="20"/>
              </w:rPr>
              <w:t>5</w:t>
            </w:r>
          </w:p>
        </w:tc>
      </w:tr>
      <w:tr w:rsidR="002E5705" w14:paraId="19E39FB1" w14:textId="77777777" w:rsidTr="00961F49">
        <w:tc>
          <w:tcPr>
            <w:tcW w:w="2346" w:type="dxa"/>
            <w:vMerge/>
            <w:tcBorders>
              <w:top w:val="dotted" w:sz="4" w:space="0" w:color="auto"/>
              <w:bottom w:val="dotted" w:sz="4" w:space="0" w:color="auto"/>
            </w:tcBorders>
            <w:vAlign w:val="center"/>
          </w:tcPr>
          <w:p w14:paraId="0C377735" w14:textId="77777777" w:rsidR="002E5705" w:rsidRDefault="002E5705" w:rsidP="000D082D">
            <w:pPr>
              <w:autoSpaceDE w:val="0"/>
              <w:autoSpaceDN w:val="0"/>
              <w:adjustRightInd w:val="0"/>
              <w:spacing w:after="0" w:line="276" w:lineRule="auto"/>
              <w:jc w:val="center"/>
              <w:rPr>
                <w:rFonts w:cs="Arial"/>
                <w:sz w:val="20"/>
                <w:szCs w:val="20"/>
                <w:lang w:val="en-GB"/>
              </w:rPr>
            </w:pPr>
          </w:p>
        </w:tc>
        <w:tc>
          <w:tcPr>
            <w:tcW w:w="3880" w:type="dxa"/>
            <w:tcBorders>
              <w:top w:val="dotted" w:sz="4" w:space="0" w:color="auto"/>
              <w:bottom w:val="dotted" w:sz="4" w:space="0" w:color="auto"/>
              <w:right w:val="single" w:sz="4" w:space="0" w:color="000000" w:themeColor="text1"/>
            </w:tcBorders>
            <w:vAlign w:val="bottom"/>
          </w:tcPr>
          <w:p w14:paraId="46E4F66F" w14:textId="780C6F43" w:rsidR="002E5705" w:rsidRDefault="002E570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9" w:type="dxa"/>
            <w:tcBorders>
              <w:left w:val="single" w:sz="4" w:space="0" w:color="000000" w:themeColor="text1"/>
            </w:tcBorders>
          </w:tcPr>
          <w:p w14:paraId="58CED36B"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C56502">
              <w:rPr>
                <w:sz w:val="20"/>
                <w:szCs w:val="20"/>
              </w:rPr>
              <w:t>292 597</w:t>
            </w:r>
          </w:p>
        </w:tc>
        <w:tc>
          <w:tcPr>
            <w:tcW w:w="1174" w:type="dxa"/>
          </w:tcPr>
          <w:p w14:paraId="11919A92" w14:textId="2ED5DAAE" w:rsidR="002E5705" w:rsidRPr="00804BFA" w:rsidRDefault="002E5705">
            <w:pPr>
              <w:autoSpaceDE w:val="0"/>
              <w:autoSpaceDN w:val="0"/>
              <w:adjustRightInd w:val="0"/>
              <w:spacing w:after="0" w:line="276" w:lineRule="auto"/>
              <w:jc w:val="center"/>
              <w:rPr>
                <w:rFonts w:cs="Arial"/>
                <w:sz w:val="20"/>
                <w:szCs w:val="20"/>
                <w:lang w:val="en-GB"/>
              </w:rPr>
            </w:pPr>
            <w:r w:rsidRPr="00377A7F">
              <w:rPr>
                <w:sz w:val="20"/>
                <w:szCs w:val="20"/>
              </w:rPr>
              <w:t>10</w:t>
            </w:r>
            <w:r w:rsidR="00E47F14">
              <w:rPr>
                <w:sz w:val="20"/>
                <w:szCs w:val="20"/>
              </w:rPr>
              <w:t>,</w:t>
            </w:r>
            <w:r w:rsidRPr="00377A7F">
              <w:rPr>
                <w:sz w:val="20"/>
                <w:szCs w:val="20"/>
              </w:rPr>
              <w:t>4</w:t>
            </w:r>
          </w:p>
        </w:tc>
      </w:tr>
      <w:tr w:rsidR="002E5705" w14:paraId="63B83DD8" w14:textId="77777777" w:rsidTr="00961F49">
        <w:tc>
          <w:tcPr>
            <w:tcW w:w="2346" w:type="dxa"/>
            <w:vMerge/>
            <w:tcBorders>
              <w:top w:val="dotted" w:sz="4" w:space="0" w:color="auto"/>
              <w:bottom w:val="dotted" w:sz="4" w:space="0" w:color="auto"/>
            </w:tcBorders>
            <w:vAlign w:val="center"/>
          </w:tcPr>
          <w:p w14:paraId="4C721C2C" w14:textId="77777777" w:rsidR="002E5705" w:rsidRDefault="002E5705" w:rsidP="000D082D">
            <w:pPr>
              <w:autoSpaceDE w:val="0"/>
              <w:autoSpaceDN w:val="0"/>
              <w:adjustRightInd w:val="0"/>
              <w:spacing w:after="0" w:line="276" w:lineRule="auto"/>
              <w:jc w:val="center"/>
              <w:rPr>
                <w:rFonts w:cs="Arial"/>
                <w:sz w:val="20"/>
                <w:szCs w:val="20"/>
                <w:lang w:val="en-GB"/>
              </w:rPr>
            </w:pPr>
          </w:p>
        </w:tc>
        <w:tc>
          <w:tcPr>
            <w:tcW w:w="3880" w:type="dxa"/>
            <w:tcBorders>
              <w:top w:val="dotted" w:sz="4" w:space="0" w:color="auto"/>
              <w:bottom w:val="dotted" w:sz="4" w:space="0" w:color="auto"/>
              <w:right w:val="single" w:sz="4" w:space="0" w:color="000000" w:themeColor="text1"/>
            </w:tcBorders>
            <w:vAlign w:val="bottom"/>
          </w:tcPr>
          <w:p w14:paraId="50AF99C7" w14:textId="1E08D6CD" w:rsidR="002E5705" w:rsidRDefault="002E570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9" w:type="dxa"/>
            <w:tcBorders>
              <w:left w:val="single" w:sz="4" w:space="0" w:color="000000" w:themeColor="text1"/>
            </w:tcBorders>
          </w:tcPr>
          <w:p w14:paraId="7BAB404E"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C56502">
              <w:rPr>
                <w:sz w:val="20"/>
                <w:szCs w:val="20"/>
              </w:rPr>
              <w:t>142 816</w:t>
            </w:r>
          </w:p>
        </w:tc>
        <w:tc>
          <w:tcPr>
            <w:tcW w:w="1174" w:type="dxa"/>
          </w:tcPr>
          <w:p w14:paraId="73CEE871" w14:textId="08B77B63" w:rsidR="002E5705" w:rsidRPr="00804BFA" w:rsidRDefault="002E5705">
            <w:pPr>
              <w:autoSpaceDE w:val="0"/>
              <w:autoSpaceDN w:val="0"/>
              <w:adjustRightInd w:val="0"/>
              <w:spacing w:after="0" w:line="276" w:lineRule="auto"/>
              <w:jc w:val="center"/>
              <w:rPr>
                <w:rFonts w:cs="Arial"/>
                <w:sz w:val="20"/>
                <w:szCs w:val="20"/>
                <w:lang w:val="en-GB"/>
              </w:rPr>
            </w:pPr>
            <w:r w:rsidRPr="00377A7F">
              <w:rPr>
                <w:sz w:val="20"/>
                <w:szCs w:val="20"/>
              </w:rPr>
              <w:t>9</w:t>
            </w:r>
            <w:r w:rsidR="00E47F14">
              <w:rPr>
                <w:sz w:val="20"/>
                <w:szCs w:val="20"/>
              </w:rPr>
              <w:t>,</w:t>
            </w:r>
            <w:r w:rsidRPr="00377A7F">
              <w:rPr>
                <w:sz w:val="20"/>
                <w:szCs w:val="20"/>
              </w:rPr>
              <w:t>6</w:t>
            </w:r>
          </w:p>
        </w:tc>
      </w:tr>
      <w:tr w:rsidR="002E5705" w14:paraId="7070AF50" w14:textId="77777777" w:rsidTr="00961F49">
        <w:tc>
          <w:tcPr>
            <w:tcW w:w="2346" w:type="dxa"/>
            <w:vMerge/>
            <w:tcBorders>
              <w:top w:val="dotted" w:sz="4" w:space="0" w:color="auto"/>
              <w:bottom w:val="dotted" w:sz="4" w:space="0" w:color="auto"/>
            </w:tcBorders>
            <w:vAlign w:val="center"/>
          </w:tcPr>
          <w:p w14:paraId="2E297EFB" w14:textId="77777777" w:rsidR="002E5705" w:rsidRDefault="002E5705" w:rsidP="000D082D">
            <w:pPr>
              <w:autoSpaceDE w:val="0"/>
              <w:autoSpaceDN w:val="0"/>
              <w:adjustRightInd w:val="0"/>
              <w:spacing w:after="0" w:line="276" w:lineRule="auto"/>
              <w:jc w:val="center"/>
              <w:rPr>
                <w:rFonts w:cs="Arial"/>
                <w:sz w:val="20"/>
                <w:szCs w:val="20"/>
                <w:lang w:val="en-GB"/>
              </w:rPr>
            </w:pPr>
          </w:p>
        </w:tc>
        <w:tc>
          <w:tcPr>
            <w:tcW w:w="3880" w:type="dxa"/>
            <w:tcBorders>
              <w:top w:val="dotted" w:sz="4" w:space="0" w:color="auto"/>
              <w:bottom w:val="dotted" w:sz="4" w:space="0" w:color="auto"/>
              <w:right w:val="single" w:sz="4" w:space="0" w:color="000000" w:themeColor="text1"/>
            </w:tcBorders>
            <w:vAlign w:val="bottom"/>
          </w:tcPr>
          <w:p w14:paraId="08F93229" w14:textId="32A72B5A" w:rsidR="002E5705" w:rsidRDefault="002E570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9" w:type="dxa"/>
            <w:tcBorders>
              <w:left w:val="single" w:sz="4" w:space="0" w:color="000000" w:themeColor="text1"/>
              <w:bottom w:val="dotted" w:sz="4" w:space="0" w:color="auto"/>
            </w:tcBorders>
          </w:tcPr>
          <w:p w14:paraId="5B06139A"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C56502">
              <w:rPr>
                <w:sz w:val="20"/>
                <w:szCs w:val="20"/>
              </w:rPr>
              <w:t>81 344</w:t>
            </w:r>
          </w:p>
        </w:tc>
        <w:tc>
          <w:tcPr>
            <w:tcW w:w="1174" w:type="dxa"/>
            <w:tcBorders>
              <w:bottom w:val="dotted" w:sz="4" w:space="0" w:color="auto"/>
            </w:tcBorders>
          </w:tcPr>
          <w:p w14:paraId="132AEA71" w14:textId="1E500D58" w:rsidR="002E5705" w:rsidRPr="00804BFA" w:rsidRDefault="002E5705">
            <w:pPr>
              <w:autoSpaceDE w:val="0"/>
              <w:autoSpaceDN w:val="0"/>
              <w:adjustRightInd w:val="0"/>
              <w:spacing w:after="0" w:line="276" w:lineRule="auto"/>
              <w:jc w:val="center"/>
              <w:rPr>
                <w:rFonts w:cs="Arial"/>
                <w:sz w:val="20"/>
                <w:szCs w:val="20"/>
                <w:lang w:val="en-GB"/>
              </w:rPr>
            </w:pPr>
            <w:r w:rsidRPr="00377A7F">
              <w:rPr>
                <w:sz w:val="20"/>
                <w:szCs w:val="20"/>
              </w:rPr>
              <w:t>20</w:t>
            </w:r>
            <w:r w:rsidR="00E47F14">
              <w:rPr>
                <w:sz w:val="20"/>
                <w:szCs w:val="20"/>
              </w:rPr>
              <w:t>,</w:t>
            </w:r>
            <w:r w:rsidRPr="00377A7F">
              <w:rPr>
                <w:sz w:val="20"/>
                <w:szCs w:val="20"/>
              </w:rPr>
              <w:t>0</w:t>
            </w:r>
          </w:p>
        </w:tc>
      </w:tr>
      <w:tr w:rsidR="002E5705" w14:paraId="0957ACEC" w14:textId="77777777" w:rsidTr="00961F49">
        <w:tc>
          <w:tcPr>
            <w:tcW w:w="2346" w:type="dxa"/>
            <w:vMerge/>
            <w:tcBorders>
              <w:top w:val="dotted" w:sz="4" w:space="0" w:color="auto"/>
              <w:bottom w:val="single" w:sz="4" w:space="0" w:color="000000"/>
            </w:tcBorders>
            <w:vAlign w:val="center"/>
          </w:tcPr>
          <w:p w14:paraId="2E028E18" w14:textId="77777777" w:rsidR="002E5705" w:rsidRDefault="002E5705" w:rsidP="000D082D">
            <w:pPr>
              <w:autoSpaceDE w:val="0"/>
              <w:autoSpaceDN w:val="0"/>
              <w:adjustRightInd w:val="0"/>
              <w:spacing w:after="0" w:line="276" w:lineRule="auto"/>
              <w:jc w:val="center"/>
              <w:rPr>
                <w:rFonts w:cs="Arial"/>
                <w:sz w:val="20"/>
                <w:szCs w:val="20"/>
                <w:lang w:val="en-GB"/>
              </w:rPr>
            </w:pPr>
          </w:p>
        </w:tc>
        <w:tc>
          <w:tcPr>
            <w:tcW w:w="3880" w:type="dxa"/>
            <w:tcBorders>
              <w:top w:val="dotted" w:sz="4" w:space="0" w:color="auto"/>
              <w:bottom w:val="single" w:sz="4" w:space="0" w:color="000000" w:themeColor="text1"/>
              <w:right w:val="single" w:sz="4" w:space="0" w:color="000000" w:themeColor="text1"/>
            </w:tcBorders>
            <w:vAlign w:val="bottom"/>
          </w:tcPr>
          <w:p w14:paraId="3311F647" w14:textId="21BE3736" w:rsidR="002E5705" w:rsidRDefault="002E5705"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9" w:type="dxa"/>
            <w:tcBorders>
              <w:top w:val="dotted" w:sz="4" w:space="0" w:color="auto"/>
              <w:left w:val="single" w:sz="4" w:space="0" w:color="000000" w:themeColor="text1"/>
              <w:bottom w:val="single" w:sz="4" w:space="0" w:color="000000" w:themeColor="text1"/>
            </w:tcBorders>
          </w:tcPr>
          <w:p w14:paraId="5321C72D" w14:textId="77777777" w:rsidR="002E5705" w:rsidRPr="00804BFA" w:rsidRDefault="002E5705" w:rsidP="000D082D">
            <w:pPr>
              <w:autoSpaceDE w:val="0"/>
              <w:autoSpaceDN w:val="0"/>
              <w:adjustRightInd w:val="0"/>
              <w:spacing w:after="0" w:line="276" w:lineRule="auto"/>
              <w:jc w:val="center"/>
              <w:rPr>
                <w:rFonts w:cs="Arial"/>
                <w:sz w:val="20"/>
                <w:szCs w:val="20"/>
                <w:lang w:val="en-GB"/>
              </w:rPr>
            </w:pPr>
            <w:r w:rsidRPr="00C56502">
              <w:rPr>
                <w:sz w:val="20"/>
                <w:szCs w:val="20"/>
              </w:rPr>
              <w:t>148 018</w:t>
            </w:r>
          </w:p>
        </w:tc>
        <w:tc>
          <w:tcPr>
            <w:tcW w:w="1174" w:type="dxa"/>
            <w:tcBorders>
              <w:top w:val="dotted" w:sz="4" w:space="0" w:color="auto"/>
              <w:bottom w:val="single" w:sz="4" w:space="0" w:color="000000" w:themeColor="text1"/>
            </w:tcBorders>
          </w:tcPr>
          <w:p w14:paraId="51E2EAD4" w14:textId="6BEAB48D" w:rsidR="002E5705" w:rsidRPr="00804BFA" w:rsidRDefault="002E5705">
            <w:pPr>
              <w:autoSpaceDE w:val="0"/>
              <w:autoSpaceDN w:val="0"/>
              <w:adjustRightInd w:val="0"/>
              <w:spacing w:after="0" w:line="276" w:lineRule="auto"/>
              <w:jc w:val="center"/>
              <w:rPr>
                <w:rFonts w:cs="Arial"/>
                <w:sz w:val="20"/>
                <w:szCs w:val="20"/>
                <w:lang w:val="en-GB"/>
              </w:rPr>
            </w:pPr>
            <w:r w:rsidRPr="00377A7F">
              <w:rPr>
                <w:sz w:val="20"/>
                <w:szCs w:val="20"/>
              </w:rPr>
              <w:t>31</w:t>
            </w:r>
            <w:r>
              <w:rPr>
                <w:sz w:val="20"/>
                <w:szCs w:val="20"/>
              </w:rPr>
              <w:t>.</w:t>
            </w:r>
            <w:r w:rsidRPr="00377A7F">
              <w:rPr>
                <w:sz w:val="20"/>
                <w:szCs w:val="20"/>
              </w:rPr>
              <w:t>4</w:t>
            </w:r>
          </w:p>
        </w:tc>
      </w:tr>
    </w:tbl>
    <w:p w14:paraId="700A8A21" w14:textId="05EC2E08" w:rsidR="00090EC5" w:rsidRPr="003932C5" w:rsidRDefault="003932C5" w:rsidP="00C24B8F">
      <w:pPr>
        <w:pStyle w:val="Nagwek3"/>
        <w:numPr>
          <w:ilvl w:val="2"/>
          <w:numId w:val="38"/>
        </w:numPr>
      </w:pPr>
      <w:r w:rsidRPr="003932C5">
        <w:t>Niezdolność do terminowego płacenia rachunków</w:t>
      </w:r>
    </w:p>
    <w:p w14:paraId="50AE8ED2" w14:textId="3997DA28" w:rsidR="003932C5" w:rsidRPr="003932C5" w:rsidRDefault="003932C5" w:rsidP="0B34B54E">
      <w:pPr>
        <w:pStyle w:val="Normal1"/>
      </w:pPr>
      <w:r w:rsidRPr="003932C5">
        <w:t xml:space="preserve">Szczegółowa analiza wskaźnika </w:t>
      </w:r>
      <w:r>
        <w:t>Niezdolność do terminowego płace</w:t>
      </w:r>
      <w:r w:rsidRPr="003932C5">
        <w:t xml:space="preserve">nia rachunków </w:t>
      </w:r>
      <w:r>
        <w:t>(</w:t>
      </w:r>
      <w:r w:rsidRPr="003932C5">
        <w:t xml:space="preserve">na podstawie </w:t>
      </w:r>
      <w:r>
        <w:t>B</w:t>
      </w:r>
      <w:r w:rsidRPr="003932C5">
        <w:t xml:space="preserve">adania </w:t>
      </w:r>
      <w:r>
        <w:t>B</w:t>
      </w:r>
      <w:r w:rsidRPr="003932C5">
        <w:t xml:space="preserve">udżetów </w:t>
      </w:r>
      <w:r>
        <w:t>G</w:t>
      </w:r>
      <w:r w:rsidRPr="003932C5">
        <w:t xml:space="preserve">ospodarstw </w:t>
      </w:r>
      <w:r>
        <w:t>D</w:t>
      </w:r>
      <w:r w:rsidRPr="003932C5">
        <w:t>omowych</w:t>
      </w:r>
      <w:r>
        <w:t>)</w:t>
      </w:r>
      <w:r w:rsidRPr="003932C5">
        <w:t xml:space="preserve">, ujawnia </w:t>
      </w:r>
      <w:r>
        <w:t>niepożądane</w:t>
      </w:r>
      <w:r w:rsidRPr="003932C5">
        <w:t xml:space="preserve"> właściwości statystyczne. Po pierwsze, w porównaniu z innymi wskaźnik</w:t>
      </w:r>
      <w:r>
        <w:t xml:space="preserve">ami, </w:t>
      </w:r>
      <w:r w:rsidRPr="003932C5">
        <w:t xml:space="preserve">identyfikuje </w:t>
      </w:r>
      <w:r>
        <w:t xml:space="preserve">on </w:t>
      </w:r>
      <w:r w:rsidRPr="003932C5">
        <w:t>niewielką liczbę gospodarstw domowych jako ubogi</w:t>
      </w:r>
      <w:r>
        <w:t>e</w:t>
      </w:r>
      <w:r w:rsidRPr="003932C5">
        <w:t xml:space="preserve"> energetycznie</w:t>
      </w:r>
      <w:r>
        <w:t xml:space="preserve"> (</w:t>
      </w:r>
      <w:r w:rsidRPr="003932C5">
        <w:t>prawie 10 razy mniej</w:t>
      </w:r>
      <w:r w:rsidR="00E47F14">
        <w:t>szy udział ubogich energetycznie</w:t>
      </w:r>
      <w:r w:rsidRPr="003932C5">
        <w:t xml:space="preserve"> niż najwyższ</w:t>
      </w:r>
      <w:r>
        <w:t>y</w:t>
      </w:r>
      <w:r w:rsidRPr="003932C5">
        <w:t xml:space="preserve"> </w:t>
      </w:r>
      <w:r>
        <w:t>wskaźnik)</w:t>
      </w:r>
      <w:r w:rsidRPr="003932C5">
        <w:t xml:space="preserve">. </w:t>
      </w:r>
      <w:r w:rsidR="00AA63A9">
        <w:t>R</w:t>
      </w:r>
      <w:r w:rsidRPr="003932C5">
        <w:t xml:space="preserve">óżnica wynika głównie </w:t>
      </w:r>
      <w:r w:rsidR="00AA63A9">
        <w:t>ze sposobu w jaki zadawane jest</w:t>
      </w:r>
      <w:r w:rsidRPr="003932C5">
        <w:t xml:space="preserve"> pytanie</w:t>
      </w:r>
      <w:r w:rsidR="00AA63A9">
        <w:t xml:space="preserve"> ankietowe</w:t>
      </w:r>
      <w:r w:rsidRPr="003932C5">
        <w:t xml:space="preserve">. </w:t>
      </w:r>
      <w:r w:rsidR="00AA63A9">
        <w:t>Dotyczy ono „</w:t>
      </w:r>
      <w:r w:rsidRPr="003932C5">
        <w:t>poziom</w:t>
      </w:r>
      <w:r w:rsidR="00AA63A9">
        <w:t>u</w:t>
      </w:r>
      <w:r w:rsidRPr="003932C5">
        <w:t xml:space="preserve"> </w:t>
      </w:r>
      <w:r w:rsidR="00AA63A9">
        <w:t>zaspokojenia</w:t>
      </w:r>
      <w:r w:rsidRPr="003932C5">
        <w:t xml:space="preserve"> </w:t>
      </w:r>
      <w:r w:rsidR="00AA63A9">
        <w:t>potrzeb opłacania rachunków”</w:t>
      </w:r>
      <w:r w:rsidRPr="003932C5">
        <w:t xml:space="preserve">, co </w:t>
      </w:r>
      <w:r w:rsidR="00AA63A9" w:rsidRPr="003932C5">
        <w:t>sugeruje</w:t>
      </w:r>
      <w:r w:rsidR="00AA63A9">
        <w:t xml:space="preserve"> </w:t>
      </w:r>
      <w:r w:rsidR="00E47F14">
        <w:t>odległy</w:t>
      </w:r>
      <w:r w:rsidRPr="003932C5">
        <w:t xml:space="preserve"> związek z zaległościami </w:t>
      </w:r>
      <w:r w:rsidR="00AA63A9">
        <w:t xml:space="preserve">na rachunkach </w:t>
      </w:r>
      <w:r w:rsidRPr="003932C5">
        <w:t xml:space="preserve">lub </w:t>
      </w:r>
      <w:r w:rsidR="00AA63A9">
        <w:t>ograniczonymi</w:t>
      </w:r>
      <w:r w:rsidRPr="003932C5">
        <w:t xml:space="preserve"> możliwości</w:t>
      </w:r>
      <w:r w:rsidR="00AA63A9">
        <w:t>ami</w:t>
      </w:r>
      <w:r w:rsidRPr="003932C5">
        <w:t xml:space="preserve"> finansowy</w:t>
      </w:r>
      <w:r w:rsidR="00AA63A9">
        <w:t>mi</w:t>
      </w:r>
      <w:r w:rsidRPr="003932C5">
        <w:t xml:space="preserve">. W tabeli </w:t>
      </w:r>
      <w:r w:rsidR="00E47F14">
        <w:t>6</w:t>
      </w:r>
      <w:r w:rsidRPr="003932C5">
        <w:t xml:space="preserve"> prezentujemy wyniki dla subpopulacji </w:t>
      </w:r>
      <w:r w:rsidR="00AA63A9">
        <w:t>wskaźnika.</w:t>
      </w:r>
    </w:p>
    <w:p w14:paraId="383F3D17" w14:textId="1508FCE9" w:rsidR="004B7501" w:rsidRPr="00AA63A9" w:rsidRDefault="00AA63A9" w:rsidP="004B7501">
      <w:pPr>
        <w:autoSpaceDE w:val="0"/>
        <w:autoSpaceDN w:val="0"/>
        <w:adjustRightInd w:val="0"/>
        <w:spacing w:after="0" w:line="276" w:lineRule="auto"/>
        <w:rPr>
          <w:rFonts w:cs="Arial"/>
          <w:b/>
          <w:sz w:val="20"/>
          <w:szCs w:val="20"/>
        </w:rPr>
      </w:pPr>
      <w:r w:rsidRPr="00AA63A9">
        <w:rPr>
          <w:rFonts w:cs="Arial"/>
          <w:b/>
          <w:sz w:val="20"/>
          <w:szCs w:val="20"/>
        </w:rPr>
        <w:t xml:space="preserve">Tabela </w:t>
      </w:r>
      <w:r w:rsidR="00E47F14">
        <w:rPr>
          <w:rFonts w:cs="Arial"/>
          <w:b/>
          <w:sz w:val="20"/>
          <w:szCs w:val="20"/>
        </w:rPr>
        <w:t>6</w:t>
      </w:r>
      <w:r w:rsidRPr="00AA63A9">
        <w:rPr>
          <w:rFonts w:cs="Arial"/>
          <w:b/>
          <w:sz w:val="20"/>
          <w:szCs w:val="20"/>
        </w:rPr>
        <w:t xml:space="preserve"> Niezdolność do terminowego płacenia rachunków - wyniki dla subpopulacji</w:t>
      </w:r>
    </w:p>
    <w:p w14:paraId="6D175D84" w14:textId="77777777" w:rsidR="004B7501" w:rsidRPr="00BC6FBB" w:rsidRDefault="004B7501" w:rsidP="004B7501">
      <w:pPr>
        <w:autoSpaceDE w:val="0"/>
        <w:autoSpaceDN w:val="0"/>
        <w:adjustRightInd w:val="0"/>
        <w:spacing w:after="0" w:line="276" w:lineRule="auto"/>
        <w:rPr>
          <w:rFonts w:cs="Arial"/>
          <w:sz w:val="20"/>
          <w:szCs w:val="20"/>
        </w:rPr>
      </w:pPr>
    </w:p>
    <w:tbl>
      <w:tblPr>
        <w:tblStyle w:val="Tabela-Siatka"/>
        <w:tblW w:w="0" w:type="auto"/>
        <w:tblBorders>
          <w:insideH w:val="dotted" w:sz="4" w:space="0" w:color="auto"/>
          <w:insideV w:val="dotted" w:sz="4" w:space="0" w:color="auto"/>
        </w:tblBorders>
        <w:tblLook w:val="04A0" w:firstRow="1" w:lastRow="0" w:firstColumn="1" w:lastColumn="0" w:noHBand="0" w:noVBand="1"/>
      </w:tblPr>
      <w:tblGrid>
        <w:gridCol w:w="2344"/>
        <w:gridCol w:w="3883"/>
        <w:gridCol w:w="1398"/>
        <w:gridCol w:w="1174"/>
      </w:tblGrid>
      <w:tr w:rsidR="00D000C6" w14:paraId="615841EA" w14:textId="77777777" w:rsidTr="00D000C6">
        <w:tc>
          <w:tcPr>
            <w:tcW w:w="6227" w:type="dxa"/>
            <w:gridSpan w:val="2"/>
            <w:tcBorders>
              <w:top w:val="single" w:sz="4" w:space="0" w:color="000000" w:themeColor="text1"/>
              <w:bottom w:val="single" w:sz="4" w:space="0" w:color="000000" w:themeColor="text1"/>
              <w:right w:val="single" w:sz="4" w:space="0" w:color="000000" w:themeColor="text1"/>
            </w:tcBorders>
            <w:shd w:val="clear" w:color="auto" w:fill="FFFF00"/>
            <w:vAlign w:val="center"/>
          </w:tcPr>
          <w:p w14:paraId="346B79B4" w14:textId="47805D89" w:rsidR="00D000C6" w:rsidRPr="00AA63A9" w:rsidRDefault="00AA63A9" w:rsidP="002861BE">
            <w:pPr>
              <w:autoSpaceDE w:val="0"/>
              <w:autoSpaceDN w:val="0"/>
              <w:adjustRightInd w:val="0"/>
              <w:spacing w:after="0" w:line="276" w:lineRule="auto"/>
              <w:jc w:val="center"/>
              <w:rPr>
                <w:rFonts w:cs="Arial"/>
                <w:b/>
                <w:sz w:val="20"/>
                <w:szCs w:val="20"/>
                <w:lang w:val="pl-PL"/>
              </w:rPr>
            </w:pPr>
            <w:r w:rsidRPr="00AA63A9">
              <w:rPr>
                <w:rFonts w:cs="Arial"/>
                <w:b/>
                <w:sz w:val="20"/>
                <w:szCs w:val="20"/>
                <w:lang w:val="pl-PL"/>
              </w:rPr>
              <w:t>Niezdolność do terminowego płacenia rachunków</w:t>
            </w:r>
          </w:p>
        </w:tc>
        <w:tc>
          <w:tcPr>
            <w:tcW w:w="1398" w:type="dxa"/>
            <w:tcBorders>
              <w:top w:val="single" w:sz="4" w:space="0" w:color="000000" w:themeColor="text1"/>
              <w:left w:val="single" w:sz="4" w:space="0" w:color="000000" w:themeColor="text1"/>
              <w:bottom w:val="single" w:sz="4" w:space="0" w:color="000000" w:themeColor="text1"/>
            </w:tcBorders>
            <w:shd w:val="clear" w:color="auto" w:fill="FFFF00"/>
          </w:tcPr>
          <w:p w14:paraId="1A28C5AF" w14:textId="18EEA3A4" w:rsidR="00D000C6" w:rsidRPr="000D59EA" w:rsidRDefault="00D000C6" w:rsidP="002861BE">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Wartość</w:t>
            </w:r>
          </w:p>
        </w:tc>
        <w:tc>
          <w:tcPr>
            <w:tcW w:w="1174" w:type="dxa"/>
            <w:tcBorders>
              <w:top w:val="single" w:sz="4" w:space="0" w:color="000000" w:themeColor="text1"/>
              <w:bottom w:val="single" w:sz="4" w:space="0" w:color="000000" w:themeColor="text1"/>
            </w:tcBorders>
            <w:shd w:val="clear" w:color="auto" w:fill="FFFF00"/>
          </w:tcPr>
          <w:p w14:paraId="29349581" w14:textId="5DD8DC44" w:rsidR="00D000C6" w:rsidRPr="000D59EA" w:rsidRDefault="00D000C6" w:rsidP="002861BE">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Udział [%]</w:t>
            </w:r>
          </w:p>
        </w:tc>
      </w:tr>
      <w:tr w:rsidR="00E47F14" w14:paraId="0E6400C2" w14:textId="77777777" w:rsidTr="00D000C6">
        <w:tc>
          <w:tcPr>
            <w:tcW w:w="6227" w:type="dxa"/>
            <w:gridSpan w:val="2"/>
            <w:tcBorders>
              <w:top w:val="single" w:sz="4" w:space="0" w:color="000000" w:themeColor="text1"/>
              <w:bottom w:val="dotted" w:sz="4" w:space="0" w:color="auto"/>
              <w:right w:val="single" w:sz="4" w:space="0" w:color="000000" w:themeColor="text1"/>
            </w:tcBorders>
            <w:vAlign w:val="center"/>
          </w:tcPr>
          <w:p w14:paraId="11E595DD" w14:textId="4CBE6DA5" w:rsidR="00E47F14" w:rsidRDefault="00E47F14" w:rsidP="002861BE">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Gospodarstwa domowe</w:t>
            </w:r>
          </w:p>
        </w:tc>
        <w:tc>
          <w:tcPr>
            <w:tcW w:w="1398" w:type="dxa"/>
            <w:tcBorders>
              <w:top w:val="single" w:sz="4" w:space="0" w:color="000000" w:themeColor="text1"/>
              <w:left w:val="single" w:sz="4" w:space="0" w:color="000000" w:themeColor="text1"/>
            </w:tcBorders>
          </w:tcPr>
          <w:p w14:paraId="2FB2E952" w14:textId="6307111E" w:rsidR="00E47F14" w:rsidRPr="00804BFA" w:rsidRDefault="00E47F14" w:rsidP="002861BE">
            <w:pPr>
              <w:autoSpaceDE w:val="0"/>
              <w:autoSpaceDN w:val="0"/>
              <w:adjustRightInd w:val="0"/>
              <w:spacing w:after="0" w:line="276" w:lineRule="auto"/>
              <w:jc w:val="center"/>
              <w:rPr>
                <w:rFonts w:cs="Arial"/>
                <w:sz w:val="20"/>
                <w:szCs w:val="20"/>
                <w:lang w:val="en-GB"/>
              </w:rPr>
            </w:pPr>
            <w:r w:rsidRPr="00504F74">
              <w:rPr>
                <w:rFonts w:cs="Arial"/>
                <w:sz w:val="20"/>
                <w:szCs w:val="20"/>
                <w:lang w:val="en-GB"/>
              </w:rPr>
              <w:t>384 781</w:t>
            </w:r>
          </w:p>
        </w:tc>
        <w:tc>
          <w:tcPr>
            <w:tcW w:w="1174" w:type="dxa"/>
            <w:tcBorders>
              <w:top w:val="single" w:sz="4" w:space="0" w:color="000000" w:themeColor="text1"/>
            </w:tcBorders>
          </w:tcPr>
          <w:p w14:paraId="7DADC4CE" w14:textId="70F187B3" w:rsidR="00E47F14" w:rsidRPr="00804BFA" w:rsidRDefault="00E47F14" w:rsidP="00E47F14">
            <w:pPr>
              <w:autoSpaceDE w:val="0"/>
              <w:autoSpaceDN w:val="0"/>
              <w:adjustRightInd w:val="0"/>
              <w:spacing w:after="0" w:line="276" w:lineRule="auto"/>
              <w:jc w:val="center"/>
              <w:rPr>
                <w:rFonts w:cs="Arial"/>
                <w:sz w:val="20"/>
                <w:szCs w:val="20"/>
                <w:lang w:val="en-GB"/>
              </w:rPr>
            </w:pPr>
            <w:r w:rsidRPr="00FB4648">
              <w:rPr>
                <w:rFonts w:cs="Arial"/>
                <w:sz w:val="20"/>
                <w:szCs w:val="20"/>
                <w:lang w:val="en-GB"/>
              </w:rPr>
              <w:t>2</w:t>
            </w:r>
            <w:r>
              <w:rPr>
                <w:rFonts w:cs="Arial"/>
                <w:sz w:val="20"/>
                <w:szCs w:val="20"/>
                <w:lang w:val="en-GB"/>
              </w:rPr>
              <w:t>,9</w:t>
            </w:r>
          </w:p>
        </w:tc>
      </w:tr>
      <w:tr w:rsidR="00E47F14" w14:paraId="2BEFEA08" w14:textId="77777777" w:rsidTr="00D000C6">
        <w:tc>
          <w:tcPr>
            <w:tcW w:w="6227" w:type="dxa"/>
            <w:gridSpan w:val="2"/>
            <w:tcBorders>
              <w:top w:val="dotted" w:sz="4" w:space="0" w:color="auto"/>
              <w:bottom w:val="dotted" w:sz="4" w:space="0" w:color="auto"/>
              <w:right w:val="single" w:sz="4" w:space="0" w:color="000000" w:themeColor="text1"/>
            </w:tcBorders>
            <w:vAlign w:val="center"/>
          </w:tcPr>
          <w:p w14:paraId="2D7DD7F0" w14:textId="3A209DFB" w:rsidR="00E47F14" w:rsidRDefault="00E47F14" w:rsidP="002861BE">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jednorodzinne</w:t>
            </w:r>
          </w:p>
        </w:tc>
        <w:tc>
          <w:tcPr>
            <w:tcW w:w="1398" w:type="dxa"/>
            <w:tcBorders>
              <w:left w:val="single" w:sz="4" w:space="0" w:color="000000" w:themeColor="text1"/>
              <w:bottom w:val="dotted" w:sz="4" w:space="0" w:color="auto"/>
            </w:tcBorders>
          </w:tcPr>
          <w:p w14:paraId="4FD1D446" w14:textId="075F7B8A" w:rsidR="00E47F14" w:rsidRPr="00FB4648" w:rsidRDefault="00E47F14" w:rsidP="002861BE">
            <w:pPr>
              <w:autoSpaceDE w:val="0"/>
              <w:autoSpaceDN w:val="0"/>
              <w:adjustRightInd w:val="0"/>
              <w:spacing w:after="0" w:line="276" w:lineRule="auto"/>
              <w:jc w:val="center"/>
              <w:rPr>
                <w:rFonts w:cs="Arial"/>
                <w:sz w:val="20"/>
                <w:szCs w:val="20"/>
                <w:lang w:val="en-GB"/>
              </w:rPr>
            </w:pPr>
            <w:r w:rsidRPr="00504F74">
              <w:rPr>
                <w:sz w:val="20"/>
                <w:szCs w:val="20"/>
              </w:rPr>
              <w:t>133 285</w:t>
            </w:r>
          </w:p>
        </w:tc>
        <w:tc>
          <w:tcPr>
            <w:tcW w:w="1174" w:type="dxa"/>
            <w:tcBorders>
              <w:bottom w:val="dotted" w:sz="4" w:space="0" w:color="auto"/>
            </w:tcBorders>
          </w:tcPr>
          <w:p w14:paraId="3FC96336" w14:textId="1628120C" w:rsidR="00E47F14" w:rsidRPr="00FB4648" w:rsidRDefault="00E47F14">
            <w:pPr>
              <w:autoSpaceDE w:val="0"/>
              <w:autoSpaceDN w:val="0"/>
              <w:adjustRightInd w:val="0"/>
              <w:spacing w:after="0" w:line="276" w:lineRule="auto"/>
              <w:jc w:val="center"/>
              <w:rPr>
                <w:rFonts w:cs="Arial"/>
                <w:sz w:val="20"/>
                <w:szCs w:val="20"/>
                <w:lang w:val="en-GB"/>
              </w:rPr>
            </w:pPr>
            <w:r w:rsidRPr="00FB4648">
              <w:rPr>
                <w:sz w:val="20"/>
                <w:szCs w:val="20"/>
              </w:rPr>
              <w:t>2</w:t>
            </w:r>
            <w:r>
              <w:rPr>
                <w:sz w:val="20"/>
                <w:szCs w:val="20"/>
              </w:rPr>
              <w:t>,2</w:t>
            </w:r>
          </w:p>
        </w:tc>
      </w:tr>
      <w:tr w:rsidR="00E47F14" w14:paraId="5209D3F7" w14:textId="77777777" w:rsidTr="00D000C6">
        <w:tc>
          <w:tcPr>
            <w:tcW w:w="6227" w:type="dxa"/>
            <w:gridSpan w:val="2"/>
            <w:tcBorders>
              <w:top w:val="dotted" w:sz="4" w:space="0" w:color="auto"/>
              <w:bottom w:val="single" w:sz="4" w:space="0" w:color="000000" w:themeColor="text1"/>
              <w:right w:val="single" w:sz="4" w:space="0" w:color="000000" w:themeColor="text1"/>
            </w:tcBorders>
            <w:vAlign w:val="center"/>
          </w:tcPr>
          <w:p w14:paraId="2DF1FF76" w14:textId="51891AC5" w:rsidR="00E47F14" w:rsidRDefault="00E47F14" w:rsidP="002861BE">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wielorodzinne</w:t>
            </w:r>
          </w:p>
        </w:tc>
        <w:tc>
          <w:tcPr>
            <w:tcW w:w="1398" w:type="dxa"/>
            <w:tcBorders>
              <w:top w:val="dotted" w:sz="4" w:space="0" w:color="auto"/>
              <w:left w:val="single" w:sz="4" w:space="0" w:color="000000" w:themeColor="text1"/>
              <w:bottom w:val="single" w:sz="4" w:space="0" w:color="000000" w:themeColor="text1"/>
            </w:tcBorders>
          </w:tcPr>
          <w:p w14:paraId="37E22171" w14:textId="28967062" w:rsidR="00E47F14" w:rsidRPr="00FB4648" w:rsidRDefault="00E47F14" w:rsidP="002861BE">
            <w:pPr>
              <w:autoSpaceDE w:val="0"/>
              <w:autoSpaceDN w:val="0"/>
              <w:adjustRightInd w:val="0"/>
              <w:spacing w:after="0" w:line="276" w:lineRule="auto"/>
              <w:jc w:val="center"/>
              <w:rPr>
                <w:rFonts w:cs="Arial"/>
                <w:sz w:val="20"/>
                <w:szCs w:val="20"/>
                <w:lang w:val="en-GB"/>
              </w:rPr>
            </w:pPr>
            <w:r w:rsidRPr="00504F74">
              <w:rPr>
                <w:sz w:val="20"/>
                <w:szCs w:val="20"/>
              </w:rPr>
              <w:t>251 497</w:t>
            </w:r>
          </w:p>
        </w:tc>
        <w:tc>
          <w:tcPr>
            <w:tcW w:w="1174" w:type="dxa"/>
            <w:tcBorders>
              <w:top w:val="dotted" w:sz="4" w:space="0" w:color="auto"/>
              <w:bottom w:val="single" w:sz="4" w:space="0" w:color="000000" w:themeColor="text1"/>
            </w:tcBorders>
          </w:tcPr>
          <w:p w14:paraId="7929C224" w14:textId="007B17DD" w:rsidR="00E47F14" w:rsidRPr="00FB4648" w:rsidRDefault="00E47F14">
            <w:pPr>
              <w:autoSpaceDE w:val="0"/>
              <w:autoSpaceDN w:val="0"/>
              <w:adjustRightInd w:val="0"/>
              <w:spacing w:after="0" w:line="276" w:lineRule="auto"/>
              <w:jc w:val="center"/>
              <w:rPr>
                <w:rFonts w:cs="Arial"/>
                <w:sz w:val="20"/>
                <w:szCs w:val="20"/>
                <w:lang w:val="en-GB"/>
              </w:rPr>
            </w:pPr>
            <w:r w:rsidRPr="00FB4648">
              <w:rPr>
                <w:sz w:val="20"/>
                <w:szCs w:val="20"/>
              </w:rPr>
              <w:t>3</w:t>
            </w:r>
            <w:r>
              <w:rPr>
                <w:sz w:val="20"/>
                <w:szCs w:val="20"/>
              </w:rPr>
              <w:t>,4</w:t>
            </w:r>
          </w:p>
        </w:tc>
      </w:tr>
      <w:tr w:rsidR="002E5705" w:rsidRPr="000D59EA" w14:paraId="6719F3A8" w14:textId="77777777" w:rsidTr="00961F49">
        <w:tc>
          <w:tcPr>
            <w:tcW w:w="2344" w:type="dxa"/>
            <w:vMerge w:val="restart"/>
            <w:tcBorders>
              <w:top w:val="single" w:sz="4" w:space="0" w:color="000000" w:themeColor="text1"/>
              <w:bottom w:val="dotted" w:sz="4" w:space="0" w:color="auto"/>
            </w:tcBorders>
            <w:vAlign w:val="center"/>
          </w:tcPr>
          <w:p w14:paraId="5E15925B" w14:textId="120517F8" w:rsidR="002E5705" w:rsidRPr="00BC6FBB" w:rsidRDefault="002E5705" w:rsidP="002861BE">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Domy jednorodzinne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7C9C8EE9" w14:textId="6BA3963B"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tcBorders>
          </w:tcPr>
          <w:p w14:paraId="1D238964" w14:textId="21003915" w:rsidR="002E5705" w:rsidRPr="00504F74" w:rsidRDefault="002E5705" w:rsidP="002861BE">
            <w:pPr>
              <w:autoSpaceDE w:val="0"/>
              <w:autoSpaceDN w:val="0"/>
              <w:adjustRightInd w:val="0"/>
              <w:spacing w:after="0" w:line="276" w:lineRule="auto"/>
              <w:jc w:val="center"/>
              <w:rPr>
                <w:rFonts w:cs="Arial"/>
                <w:sz w:val="20"/>
                <w:szCs w:val="20"/>
                <w:lang w:val="en-GB"/>
              </w:rPr>
            </w:pPr>
            <w:r w:rsidRPr="004E20B4">
              <w:rPr>
                <w:sz w:val="20"/>
                <w:szCs w:val="20"/>
              </w:rPr>
              <w:t>38 689</w:t>
            </w:r>
          </w:p>
        </w:tc>
        <w:tc>
          <w:tcPr>
            <w:tcW w:w="1174" w:type="dxa"/>
            <w:tcBorders>
              <w:top w:val="single" w:sz="4" w:space="0" w:color="000000" w:themeColor="text1"/>
            </w:tcBorders>
          </w:tcPr>
          <w:p w14:paraId="775A87D5" w14:textId="32D3B6BC" w:rsidR="002E5705" w:rsidRPr="00504F74" w:rsidRDefault="002E5705">
            <w:pPr>
              <w:autoSpaceDE w:val="0"/>
              <w:autoSpaceDN w:val="0"/>
              <w:adjustRightInd w:val="0"/>
              <w:spacing w:after="0" w:line="276" w:lineRule="auto"/>
              <w:jc w:val="center"/>
              <w:rPr>
                <w:rFonts w:cs="Arial"/>
                <w:sz w:val="20"/>
                <w:szCs w:val="20"/>
                <w:lang w:val="en-GB"/>
              </w:rPr>
            </w:pPr>
            <w:r w:rsidRPr="00557AB5">
              <w:rPr>
                <w:sz w:val="20"/>
                <w:szCs w:val="20"/>
              </w:rPr>
              <w:t>3</w:t>
            </w:r>
            <w:r w:rsidR="00E47F14">
              <w:rPr>
                <w:sz w:val="20"/>
                <w:szCs w:val="20"/>
              </w:rPr>
              <w:t>,</w:t>
            </w:r>
            <w:r w:rsidRPr="00557AB5">
              <w:rPr>
                <w:sz w:val="20"/>
                <w:szCs w:val="20"/>
              </w:rPr>
              <w:t>8</w:t>
            </w:r>
          </w:p>
        </w:tc>
      </w:tr>
      <w:tr w:rsidR="002E5705" w:rsidRPr="000D59EA" w14:paraId="482C7798" w14:textId="77777777" w:rsidTr="00961F49">
        <w:tc>
          <w:tcPr>
            <w:tcW w:w="2344" w:type="dxa"/>
            <w:vMerge/>
            <w:tcBorders>
              <w:top w:val="dotted" w:sz="4" w:space="0" w:color="auto"/>
              <w:bottom w:val="dotted" w:sz="4" w:space="0" w:color="auto"/>
            </w:tcBorders>
            <w:vAlign w:val="center"/>
          </w:tcPr>
          <w:p w14:paraId="69A568D8"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09B40721" w14:textId="60FC991B"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left w:val="single" w:sz="4" w:space="0" w:color="000000" w:themeColor="text1"/>
            </w:tcBorders>
          </w:tcPr>
          <w:p w14:paraId="5A823C9A" w14:textId="6583C562" w:rsidR="002E5705" w:rsidRPr="00504F74" w:rsidRDefault="002E5705" w:rsidP="002861BE">
            <w:pPr>
              <w:autoSpaceDE w:val="0"/>
              <w:autoSpaceDN w:val="0"/>
              <w:adjustRightInd w:val="0"/>
              <w:spacing w:after="0" w:line="276" w:lineRule="auto"/>
              <w:jc w:val="center"/>
              <w:rPr>
                <w:rFonts w:cs="Arial"/>
                <w:sz w:val="20"/>
                <w:szCs w:val="20"/>
                <w:lang w:val="en-GB"/>
              </w:rPr>
            </w:pPr>
            <w:r w:rsidRPr="004E20B4">
              <w:rPr>
                <w:sz w:val="20"/>
                <w:szCs w:val="20"/>
              </w:rPr>
              <w:t>24 533</w:t>
            </w:r>
          </w:p>
        </w:tc>
        <w:tc>
          <w:tcPr>
            <w:tcW w:w="1174" w:type="dxa"/>
          </w:tcPr>
          <w:p w14:paraId="515BC1F3" w14:textId="1081E84C" w:rsidR="002E5705" w:rsidRPr="00504F74" w:rsidRDefault="00E47F14" w:rsidP="002861BE">
            <w:pPr>
              <w:autoSpaceDE w:val="0"/>
              <w:autoSpaceDN w:val="0"/>
              <w:adjustRightInd w:val="0"/>
              <w:spacing w:after="0" w:line="276" w:lineRule="auto"/>
              <w:jc w:val="center"/>
              <w:rPr>
                <w:rFonts w:cs="Arial"/>
                <w:sz w:val="20"/>
                <w:szCs w:val="20"/>
                <w:lang w:val="en-GB"/>
              </w:rPr>
            </w:pPr>
            <w:r>
              <w:rPr>
                <w:sz w:val="20"/>
                <w:szCs w:val="20"/>
              </w:rPr>
              <w:t>2,</w:t>
            </w:r>
            <w:r w:rsidR="002E5705" w:rsidRPr="00557AB5">
              <w:rPr>
                <w:sz w:val="20"/>
                <w:szCs w:val="20"/>
              </w:rPr>
              <w:t>8</w:t>
            </w:r>
          </w:p>
        </w:tc>
      </w:tr>
      <w:tr w:rsidR="002E5705" w:rsidRPr="000D59EA" w14:paraId="2C44B79A" w14:textId="77777777" w:rsidTr="00961F49">
        <w:tc>
          <w:tcPr>
            <w:tcW w:w="2344" w:type="dxa"/>
            <w:vMerge/>
            <w:tcBorders>
              <w:top w:val="dotted" w:sz="4" w:space="0" w:color="auto"/>
              <w:bottom w:val="dotted" w:sz="4" w:space="0" w:color="auto"/>
            </w:tcBorders>
            <w:vAlign w:val="center"/>
          </w:tcPr>
          <w:p w14:paraId="6CF4E6C5"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0A460AA2" w14:textId="3C34081E"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tcPr>
          <w:p w14:paraId="3C128E17" w14:textId="03F6403C" w:rsidR="002E5705" w:rsidRPr="00504F74" w:rsidRDefault="002E5705" w:rsidP="002861BE">
            <w:pPr>
              <w:autoSpaceDE w:val="0"/>
              <w:autoSpaceDN w:val="0"/>
              <w:adjustRightInd w:val="0"/>
              <w:spacing w:after="0" w:line="276" w:lineRule="auto"/>
              <w:jc w:val="center"/>
              <w:rPr>
                <w:rFonts w:cs="Arial"/>
                <w:sz w:val="20"/>
                <w:szCs w:val="20"/>
                <w:lang w:val="en-GB"/>
              </w:rPr>
            </w:pPr>
            <w:r w:rsidRPr="004E20B4">
              <w:rPr>
                <w:sz w:val="20"/>
                <w:szCs w:val="20"/>
              </w:rPr>
              <w:t>44 655</w:t>
            </w:r>
          </w:p>
        </w:tc>
        <w:tc>
          <w:tcPr>
            <w:tcW w:w="1174" w:type="dxa"/>
          </w:tcPr>
          <w:p w14:paraId="2EE1ECC3" w14:textId="7F11032D" w:rsidR="002E5705" w:rsidRPr="00504F74" w:rsidRDefault="00E47F14" w:rsidP="002861BE">
            <w:pPr>
              <w:autoSpaceDE w:val="0"/>
              <w:autoSpaceDN w:val="0"/>
              <w:adjustRightInd w:val="0"/>
              <w:spacing w:after="0" w:line="276" w:lineRule="auto"/>
              <w:jc w:val="center"/>
              <w:rPr>
                <w:rFonts w:cs="Arial"/>
                <w:sz w:val="20"/>
                <w:szCs w:val="20"/>
                <w:lang w:val="en-GB"/>
              </w:rPr>
            </w:pPr>
            <w:r>
              <w:rPr>
                <w:sz w:val="20"/>
                <w:szCs w:val="20"/>
              </w:rPr>
              <w:t>2,</w:t>
            </w:r>
            <w:r w:rsidR="002E5705" w:rsidRPr="00557AB5">
              <w:rPr>
                <w:sz w:val="20"/>
                <w:szCs w:val="20"/>
              </w:rPr>
              <w:t>4</w:t>
            </w:r>
          </w:p>
        </w:tc>
      </w:tr>
      <w:tr w:rsidR="002E5705" w:rsidRPr="000D59EA" w14:paraId="6E1294FB" w14:textId="77777777" w:rsidTr="00961F49">
        <w:tc>
          <w:tcPr>
            <w:tcW w:w="2344" w:type="dxa"/>
            <w:vMerge/>
            <w:tcBorders>
              <w:top w:val="dotted" w:sz="4" w:space="0" w:color="auto"/>
              <w:bottom w:val="dotted" w:sz="4" w:space="0" w:color="auto"/>
            </w:tcBorders>
            <w:vAlign w:val="center"/>
          </w:tcPr>
          <w:p w14:paraId="634462B7"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518BE32B" w14:textId="26FB4A5B"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tcPr>
          <w:p w14:paraId="7E96B68B" w14:textId="51B1D4CD" w:rsidR="002E5705" w:rsidRPr="00504F74" w:rsidRDefault="002E5705" w:rsidP="002861BE">
            <w:pPr>
              <w:autoSpaceDE w:val="0"/>
              <w:autoSpaceDN w:val="0"/>
              <w:adjustRightInd w:val="0"/>
              <w:spacing w:after="0" w:line="276" w:lineRule="auto"/>
              <w:jc w:val="center"/>
              <w:rPr>
                <w:rFonts w:cs="Arial"/>
                <w:sz w:val="20"/>
                <w:szCs w:val="20"/>
                <w:lang w:val="en-GB"/>
              </w:rPr>
            </w:pPr>
            <w:r w:rsidRPr="004E20B4">
              <w:rPr>
                <w:sz w:val="20"/>
                <w:szCs w:val="20"/>
              </w:rPr>
              <w:t>16 884</w:t>
            </w:r>
          </w:p>
        </w:tc>
        <w:tc>
          <w:tcPr>
            <w:tcW w:w="1174" w:type="dxa"/>
          </w:tcPr>
          <w:p w14:paraId="76E5EF19" w14:textId="6D2EB555" w:rsidR="002E5705" w:rsidRPr="00504F74" w:rsidRDefault="00E47F14" w:rsidP="002861BE">
            <w:pPr>
              <w:autoSpaceDE w:val="0"/>
              <w:autoSpaceDN w:val="0"/>
              <w:adjustRightInd w:val="0"/>
              <w:spacing w:after="0" w:line="276" w:lineRule="auto"/>
              <w:jc w:val="center"/>
              <w:rPr>
                <w:rFonts w:cs="Arial"/>
                <w:sz w:val="20"/>
                <w:szCs w:val="20"/>
                <w:lang w:val="en-GB"/>
              </w:rPr>
            </w:pPr>
            <w:r>
              <w:rPr>
                <w:sz w:val="20"/>
                <w:szCs w:val="20"/>
              </w:rPr>
              <w:t>1,</w:t>
            </w:r>
            <w:r w:rsidR="002E5705" w:rsidRPr="00557AB5">
              <w:rPr>
                <w:sz w:val="20"/>
                <w:szCs w:val="20"/>
              </w:rPr>
              <w:t>4</w:t>
            </w:r>
          </w:p>
        </w:tc>
      </w:tr>
      <w:tr w:rsidR="002E5705" w:rsidRPr="000D59EA" w14:paraId="16E78ECB" w14:textId="77777777" w:rsidTr="00961F49">
        <w:tc>
          <w:tcPr>
            <w:tcW w:w="2344" w:type="dxa"/>
            <w:vMerge/>
            <w:tcBorders>
              <w:top w:val="dotted" w:sz="4" w:space="0" w:color="auto"/>
              <w:bottom w:val="dotted" w:sz="4" w:space="0" w:color="auto"/>
            </w:tcBorders>
            <w:vAlign w:val="center"/>
          </w:tcPr>
          <w:p w14:paraId="59EA479C"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0BCA1134" w14:textId="36AD0BAE"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tcBorders>
          </w:tcPr>
          <w:p w14:paraId="6202B016" w14:textId="0EA4CB3E" w:rsidR="002E5705" w:rsidRPr="00504F74" w:rsidRDefault="002E5705" w:rsidP="002861BE">
            <w:pPr>
              <w:autoSpaceDE w:val="0"/>
              <w:autoSpaceDN w:val="0"/>
              <w:adjustRightInd w:val="0"/>
              <w:spacing w:after="0" w:line="276" w:lineRule="auto"/>
              <w:jc w:val="center"/>
              <w:rPr>
                <w:rFonts w:cs="Arial"/>
                <w:sz w:val="20"/>
                <w:szCs w:val="20"/>
                <w:lang w:val="en-GB"/>
              </w:rPr>
            </w:pPr>
            <w:r w:rsidRPr="004E20B4">
              <w:rPr>
                <w:sz w:val="20"/>
                <w:szCs w:val="20"/>
              </w:rPr>
              <w:t>5 424</w:t>
            </w:r>
          </w:p>
        </w:tc>
        <w:tc>
          <w:tcPr>
            <w:tcW w:w="1174" w:type="dxa"/>
          </w:tcPr>
          <w:p w14:paraId="1C2A1EAD" w14:textId="051B24EF" w:rsidR="002E5705" w:rsidRPr="00504F74" w:rsidRDefault="00E47F14" w:rsidP="002861BE">
            <w:pPr>
              <w:autoSpaceDE w:val="0"/>
              <w:autoSpaceDN w:val="0"/>
              <w:adjustRightInd w:val="0"/>
              <w:spacing w:after="0" w:line="276" w:lineRule="auto"/>
              <w:jc w:val="center"/>
              <w:rPr>
                <w:rFonts w:cs="Arial"/>
                <w:sz w:val="20"/>
                <w:szCs w:val="20"/>
                <w:lang w:val="en-GB"/>
              </w:rPr>
            </w:pPr>
            <w:r>
              <w:rPr>
                <w:sz w:val="20"/>
                <w:szCs w:val="20"/>
              </w:rPr>
              <w:t>0,</w:t>
            </w:r>
            <w:r w:rsidR="002E5705" w:rsidRPr="00557AB5">
              <w:rPr>
                <w:sz w:val="20"/>
                <w:szCs w:val="20"/>
              </w:rPr>
              <w:t>9</w:t>
            </w:r>
          </w:p>
        </w:tc>
      </w:tr>
      <w:tr w:rsidR="002E5705" w:rsidRPr="000D59EA" w14:paraId="6CE5CC45" w14:textId="77777777" w:rsidTr="00961F49">
        <w:tc>
          <w:tcPr>
            <w:tcW w:w="2344" w:type="dxa"/>
            <w:vMerge/>
            <w:tcBorders>
              <w:top w:val="dotted" w:sz="4" w:space="0" w:color="auto"/>
              <w:bottom w:val="single" w:sz="4" w:space="0" w:color="000000"/>
            </w:tcBorders>
            <w:vAlign w:val="center"/>
          </w:tcPr>
          <w:p w14:paraId="4C5DC136"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43CA08B0" w14:textId="212FD97C"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left w:val="single" w:sz="4" w:space="0" w:color="000000" w:themeColor="text1"/>
              <w:bottom w:val="single" w:sz="4" w:space="0" w:color="000000" w:themeColor="text1"/>
            </w:tcBorders>
          </w:tcPr>
          <w:p w14:paraId="38BC1A22" w14:textId="54F4CFAE" w:rsidR="002E5705" w:rsidRPr="00504F74" w:rsidRDefault="002E5705" w:rsidP="002861BE">
            <w:pPr>
              <w:autoSpaceDE w:val="0"/>
              <w:autoSpaceDN w:val="0"/>
              <w:adjustRightInd w:val="0"/>
              <w:spacing w:after="0" w:line="276" w:lineRule="auto"/>
              <w:jc w:val="center"/>
              <w:rPr>
                <w:rFonts w:cs="Arial"/>
                <w:sz w:val="20"/>
                <w:szCs w:val="20"/>
                <w:lang w:val="en-GB"/>
              </w:rPr>
            </w:pPr>
            <w:r w:rsidRPr="004E20B4">
              <w:rPr>
                <w:sz w:val="20"/>
                <w:szCs w:val="20"/>
              </w:rPr>
              <w:t>3 101</w:t>
            </w:r>
          </w:p>
        </w:tc>
        <w:tc>
          <w:tcPr>
            <w:tcW w:w="1174" w:type="dxa"/>
            <w:tcBorders>
              <w:bottom w:val="single" w:sz="4" w:space="0" w:color="000000" w:themeColor="text1"/>
            </w:tcBorders>
          </w:tcPr>
          <w:p w14:paraId="23436E28" w14:textId="19139E0D" w:rsidR="002E5705" w:rsidRPr="00504F74" w:rsidRDefault="00E47F14" w:rsidP="002861BE">
            <w:pPr>
              <w:autoSpaceDE w:val="0"/>
              <w:autoSpaceDN w:val="0"/>
              <w:adjustRightInd w:val="0"/>
              <w:spacing w:after="0" w:line="276" w:lineRule="auto"/>
              <w:jc w:val="center"/>
              <w:rPr>
                <w:rFonts w:cs="Arial"/>
                <w:sz w:val="20"/>
                <w:szCs w:val="20"/>
                <w:lang w:val="en-GB"/>
              </w:rPr>
            </w:pPr>
            <w:r>
              <w:rPr>
                <w:sz w:val="20"/>
                <w:szCs w:val="20"/>
              </w:rPr>
              <w:t>0,</w:t>
            </w:r>
            <w:r w:rsidR="002E5705" w:rsidRPr="00557AB5">
              <w:rPr>
                <w:sz w:val="20"/>
                <w:szCs w:val="20"/>
              </w:rPr>
              <w:t>8</w:t>
            </w:r>
          </w:p>
        </w:tc>
      </w:tr>
      <w:tr w:rsidR="002E5705" w14:paraId="6A0C7592" w14:textId="77777777" w:rsidTr="00961F49">
        <w:tc>
          <w:tcPr>
            <w:tcW w:w="2344" w:type="dxa"/>
            <w:vMerge w:val="restart"/>
            <w:tcBorders>
              <w:top w:val="single" w:sz="4" w:space="0" w:color="000000" w:themeColor="text1"/>
              <w:bottom w:val="dotted" w:sz="4" w:space="0" w:color="auto"/>
            </w:tcBorders>
            <w:vAlign w:val="center"/>
          </w:tcPr>
          <w:p w14:paraId="46DA67CE" w14:textId="6F5C776A" w:rsidR="002E5705" w:rsidRPr="00BC6FBB" w:rsidRDefault="002E5705" w:rsidP="002861BE">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 xml:space="preserve">Domy </w:t>
            </w:r>
            <w:r>
              <w:rPr>
                <w:rFonts w:cs="Arial"/>
                <w:sz w:val="20"/>
                <w:szCs w:val="20"/>
                <w:lang w:val="pl-PL"/>
              </w:rPr>
              <w:t>wielorodzinne</w:t>
            </w:r>
            <w:r w:rsidRPr="00D000C6">
              <w:rPr>
                <w:rFonts w:cs="Arial"/>
                <w:sz w:val="20"/>
                <w:szCs w:val="20"/>
                <w:lang w:val="pl-PL"/>
              </w:rPr>
              <w:t xml:space="preserv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43CD2386" w14:textId="08038265"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bottom w:val="dotted" w:sz="4" w:space="0" w:color="auto"/>
            </w:tcBorders>
          </w:tcPr>
          <w:p w14:paraId="2FD8B5C8"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C56502">
              <w:rPr>
                <w:sz w:val="20"/>
                <w:szCs w:val="20"/>
              </w:rPr>
              <w:t>96 204</w:t>
            </w:r>
          </w:p>
        </w:tc>
        <w:tc>
          <w:tcPr>
            <w:tcW w:w="1174" w:type="dxa"/>
            <w:tcBorders>
              <w:top w:val="single" w:sz="4" w:space="0" w:color="000000" w:themeColor="text1"/>
              <w:bottom w:val="dotted" w:sz="4" w:space="0" w:color="auto"/>
            </w:tcBorders>
          </w:tcPr>
          <w:p w14:paraId="27C274ED"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7,2</w:t>
            </w:r>
          </w:p>
        </w:tc>
      </w:tr>
      <w:tr w:rsidR="002E5705" w14:paraId="519360A1" w14:textId="77777777" w:rsidTr="00961F49">
        <w:tc>
          <w:tcPr>
            <w:tcW w:w="2344" w:type="dxa"/>
            <w:vMerge/>
            <w:tcBorders>
              <w:top w:val="dotted" w:sz="4" w:space="0" w:color="auto"/>
              <w:bottom w:val="dotted" w:sz="4" w:space="0" w:color="auto"/>
            </w:tcBorders>
            <w:vAlign w:val="center"/>
          </w:tcPr>
          <w:p w14:paraId="7B075B32"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6442825A" w14:textId="75085ACA"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top w:val="dotted" w:sz="4" w:space="0" w:color="auto"/>
              <w:left w:val="single" w:sz="4" w:space="0" w:color="000000" w:themeColor="text1"/>
            </w:tcBorders>
          </w:tcPr>
          <w:p w14:paraId="668F93D4"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C56502">
              <w:rPr>
                <w:sz w:val="20"/>
                <w:szCs w:val="20"/>
              </w:rPr>
              <w:t>33 926</w:t>
            </w:r>
          </w:p>
        </w:tc>
        <w:tc>
          <w:tcPr>
            <w:tcW w:w="1174" w:type="dxa"/>
            <w:tcBorders>
              <w:top w:val="dotted" w:sz="4" w:space="0" w:color="auto"/>
            </w:tcBorders>
          </w:tcPr>
          <w:p w14:paraId="2D2723C1"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4,5</w:t>
            </w:r>
          </w:p>
        </w:tc>
      </w:tr>
      <w:tr w:rsidR="002E5705" w14:paraId="2D830843" w14:textId="77777777" w:rsidTr="00961F49">
        <w:tc>
          <w:tcPr>
            <w:tcW w:w="2344" w:type="dxa"/>
            <w:vMerge/>
            <w:tcBorders>
              <w:top w:val="dotted" w:sz="4" w:space="0" w:color="auto"/>
              <w:bottom w:val="dotted" w:sz="4" w:space="0" w:color="auto"/>
            </w:tcBorders>
            <w:vAlign w:val="center"/>
          </w:tcPr>
          <w:p w14:paraId="1DEEDF33"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6FF571C7" w14:textId="1B5BF8C2"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tcPr>
          <w:p w14:paraId="361ADFB9"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C56502">
              <w:rPr>
                <w:sz w:val="20"/>
                <w:szCs w:val="20"/>
              </w:rPr>
              <w:t>68 568</w:t>
            </w:r>
          </w:p>
        </w:tc>
        <w:tc>
          <w:tcPr>
            <w:tcW w:w="1174" w:type="dxa"/>
          </w:tcPr>
          <w:p w14:paraId="40057C6C"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2,4</w:t>
            </w:r>
          </w:p>
        </w:tc>
      </w:tr>
      <w:tr w:rsidR="002E5705" w14:paraId="0CCBBA99" w14:textId="77777777" w:rsidTr="00961F49">
        <w:tc>
          <w:tcPr>
            <w:tcW w:w="2344" w:type="dxa"/>
            <w:vMerge/>
            <w:tcBorders>
              <w:top w:val="dotted" w:sz="4" w:space="0" w:color="auto"/>
              <w:bottom w:val="dotted" w:sz="4" w:space="0" w:color="auto"/>
            </w:tcBorders>
            <w:vAlign w:val="center"/>
          </w:tcPr>
          <w:p w14:paraId="16E0C1B1"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4773647D" w14:textId="16B5C222"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tcPr>
          <w:p w14:paraId="30E2EA4D"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C56502">
              <w:rPr>
                <w:sz w:val="20"/>
                <w:szCs w:val="20"/>
              </w:rPr>
              <w:t>25 760</w:t>
            </w:r>
          </w:p>
        </w:tc>
        <w:tc>
          <w:tcPr>
            <w:tcW w:w="1174" w:type="dxa"/>
          </w:tcPr>
          <w:p w14:paraId="0C434C1D"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1,7</w:t>
            </w:r>
          </w:p>
        </w:tc>
      </w:tr>
      <w:tr w:rsidR="002E5705" w14:paraId="4BACCE58" w14:textId="77777777" w:rsidTr="00961F49">
        <w:tc>
          <w:tcPr>
            <w:tcW w:w="2344" w:type="dxa"/>
            <w:vMerge/>
            <w:tcBorders>
              <w:top w:val="dotted" w:sz="4" w:space="0" w:color="auto"/>
              <w:bottom w:val="dotted" w:sz="4" w:space="0" w:color="auto"/>
            </w:tcBorders>
            <w:vAlign w:val="center"/>
          </w:tcPr>
          <w:p w14:paraId="7EC22CAF"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7A39431C" w14:textId="59C86FC3"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bottom w:val="dotted" w:sz="4" w:space="0" w:color="auto"/>
            </w:tcBorders>
          </w:tcPr>
          <w:p w14:paraId="01D08E06"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C56502">
              <w:rPr>
                <w:sz w:val="20"/>
                <w:szCs w:val="20"/>
              </w:rPr>
              <w:t>4 367</w:t>
            </w:r>
          </w:p>
        </w:tc>
        <w:tc>
          <w:tcPr>
            <w:tcW w:w="1174" w:type="dxa"/>
            <w:tcBorders>
              <w:bottom w:val="dotted" w:sz="4" w:space="0" w:color="auto"/>
            </w:tcBorders>
          </w:tcPr>
          <w:p w14:paraId="38E5319B"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1,1</w:t>
            </w:r>
          </w:p>
        </w:tc>
      </w:tr>
      <w:tr w:rsidR="002E5705" w14:paraId="0633056B" w14:textId="77777777" w:rsidTr="00961F49">
        <w:tc>
          <w:tcPr>
            <w:tcW w:w="2344" w:type="dxa"/>
            <w:vMerge/>
            <w:tcBorders>
              <w:top w:val="dotted" w:sz="4" w:space="0" w:color="auto"/>
              <w:bottom w:val="single" w:sz="4" w:space="0" w:color="000000"/>
            </w:tcBorders>
            <w:vAlign w:val="center"/>
          </w:tcPr>
          <w:p w14:paraId="3F74D7F1"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008D0774" w14:textId="02172E42"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top w:val="dotted" w:sz="4" w:space="0" w:color="auto"/>
              <w:left w:val="single" w:sz="4" w:space="0" w:color="000000" w:themeColor="text1"/>
              <w:bottom w:val="single" w:sz="4" w:space="0" w:color="000000" w:themeColor="text1"/>
            </w:tcBorders>
          </w:tcPr>
          <w:p w14:paraId="3D63AAE2"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C56502">
              <w:rPr>
                <w:sz w:val="20"/>
                <w:szCs w:val="20"/>
              </w:rPr>
              <w:t>4 620</w:t>
            </w:r>
          </w:p>
        </w:tc>
        <w:tc>
          <w:tcPr>
            <w:tcW w:w="1174" w:type="dxa"/>
            <w:tcBorders>
              <w:top w:val="dotted" w:sz="4" w:space="0" w:color="auto"/>
              <w:bottom w:val="single" w:sz="4" w:space="0" w:color="000000" w:themeColor="text1"/>
            </w:tcBorders>
          </w:tcPr>
          <w:p w14:paraId="339F6D5B"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1,0</w:t>
            </w:r>
          </w:p>
        </w:tc>
      </w:tr>
      <w:tr w:rsidR="002E5705" w14:paraId="1D77ED48" w14:textId="77777777" w:rsidTr="00961F49">
        <w:tc>
          <w:tcPr>
            <w:tcW w:w="2344" w:type="dxa"/>
            <w:vMerge w:val="restart"/>
            <w:tcBorders>
              <w:top w:val="single" w:sz="4" w:space="0" w:color="000000" w:themeColor="text1"/>
              <w:bottom w:val="dotted" w:sz="4" w:space="0" w:color="auto"/>
            </w:tcBorders>
            <w:vAlign w:val="center"/>
          </w:tcPr>
          <w:p w14:paraId="6E6386AD" w14:textId="6B2DED40" w:rsidR="002E5705" w:rsidRDefault="002E5705" w:rsidP="002861BE">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Główne źródło utrzymania</w:t>
            </w:r>
          </w:p>
        </w:tc>
        <w:tc>
          <w:tcPr>
            <w:tcW w:w="3883" w:type="dxa"/>
            <w:tcBorders>
              <w:top w:val="single" w:sz="4" w:space="0" w:color="000000" w:themeColor="text1"/>
              <w:bottom w:val="dotted" w:sz="4" w:space="0" w:color="auto"/>
              <w:right w:val="single" w:sz="4" w:space="0" w:color="000000" w:themeColor="text1"/>
            </w:tcBorders>
            <w:vAlign w:val="bottom"/>
          </w:tcPr>
          <w:p w14:paraId="7B328C83" w14:textId="0E73C431" w:rsidR="002E5705" w:rsidRPr="00BC6FBB" w:rsidRDefault="002E5705" w:rsidP="002861BE">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robotniczym</w:t>
            </w:r>
          </w:p>
        </w:tc>
        <w:tc>
          <w:tcPr>
            <w:tcW w:w="1398" w:type="dxa"/>
            <w:tcBorders>
              <w:top w:val="single" w:sz="4" w:space="0" w:color="000000" w:themeColor="text1"/>
              <w:left w:val="single" w:sz="4" w:space="0" w:color="000000" w:themeColor="text1"/>
            </w:tcBorders>
          </w:tcPr>
          <w:p w14:paraId="5D456C8F"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98 633</w:t>
            </w:r>
          </w:p>
        </w:tc>
        <w:tc>
          <w:tcPr>
            <w:tcW w:w="1174" w:type="dxa"/>
            <w:tcBorders>
              <w:top w:val="single" w:sz="4" w:space="0" w:color="000000" w:themeColor="text1"/>
            </w:tcBorders>
          </w:tcPr>
          <w:p w14:paraId="4B62843D"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2,9</w:t>
            </w:r>
          </w:p>
        </w:tc>
      </w:tr>
      <w:tr w:rsidR="002E5705" w14:paraId="65F767C4" w14:textId="77777777" w:rsidTr="00961F49">
        <w:tc>
          <w:tcPr>
            <w:tcW w:w="2344" w:type="dxa"/>
            <w:vMerge/>
            <w:tcBorders>
              <w:top w:val="dotted" w:sz="4" w:space="0" w:color="auto"/>
              <w:bottom w:val="dotted" w:sz="4" w:space="0" w:color="auto"/>
            </w:tcBorders>
            <w:vAlign w:val="center"/>
          </w:tcPr>
          <w:p w14:paraId="1CD6A3D2"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71577FC2" w14:textId="78C54B03" w:rsidR="002E5705" w:rsidRPr="00BC6FBB" w:rsidRDefault="002E5705" w:rsidP="00BA246E">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nierobotniczym</w:t>
            </w:r>
          </w:p>
        </w:tc>
        <w:tc>
          <w:tcPr>
            <w:tcW w:w="1398" w:type="dxa"/>
            <w:tcBorders>
              <w:left w:val="single" w:sz="4" w:space="0" w:color="000000" w:themeColor="text1"/>
            </w:tcBorders>
          </w:tcPr>
          <w:p w14:paraId="44CD38D3"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37 384</w:t>
            </w:r>
          </w:p>
        </w:tc>
        <w:tc>
          <w:tcPr>
            <w:tcW w:w="1174" w:type="dxa"/>
          </w:tcPr>
          <w:p w14:paraId="1009E087"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1,1</w:t>
            </w:r>
          </w:p>
        </w:tc>
      </w:tr>
      <w:tr w:rsidR="002E5705" w14:paraId="52FD659A" w14:textId="77777777" w:rsidTr="00961F49">
        <w:tc>
          <w:tcPr>
            <w:tcW w:w="2344" w:type="dxa"/>
            <w:vMerge/>
            <w:tcBorders>
              <w:top w:val="dotted" w:sz="4" w:space="0" w:color="auto"/>
              <w:bottom w:val="dotted" w:sz="4" w:space="0" w:color="auto"/>
            </w:tcBorders>
            <w:vAlign w:val="center"/>
          </w:tcPr>
          <w:p w14:paraId="5F54CA67"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52E5C974" w14:textId="5D458526"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użytkowanie gospodarstwa rolnego</w:t>
            </w:r>
          </w:p>
        </w:tc>
        <w:tc>
          <w:tcPr>
            <w:tcW w:w="1398" w:type="dxa"/>
            <w:tcBorders>
              <w:left w:val="single" w:sz="4" w:space="0" w:color="000000" w:themeColor="text1"/>
            </w:tcBorders>
          </w:tcPr>
          <w:p w14:paraId="546E4087"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7 399</w:t>
            </w:r>
          </w:p>
        </w:tc>
        <w:tc>
          <w:tcPr>
            <w:tcW w:w="1174" w:type="dxa"/>
          </w:tcPr>
          <w:p w14:paraId="24AE6FA2"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1,3</w:t>
            </w:r>
          </w:p>
        </w:tc>
      </w:tr>
      <w:tr w:rsidR="002E5705" w14:paraId="3B2AE975" w14:textId="77777777" w:rsidTr="00961F49">
        <w:tc>
          <w:tcPr>
            <w:tcW w:w="2344" w:type="dxa"/>
            <w:vMerge/>
            <w:tcBorders>
              <w:top w:val="dotted" w:sz="4" w:space="0" w:color="auto"/>
              <w:bottom w:val="dotted" w:sz="4" w:space="0" w:color="auto"/>
            </w:tcBorders>
            <w:vAlign w:val="center"/>
          </w:tcPr>
          <w:p w14:paraId="5E2FB749"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67974C66" w14:textId="7CD445E4" w:rsidR="002E5705" w:rsidRDefault="002E5705" w:rsidP="002861B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praca na własny rachunek</w:t>
            </w:r>
          </w:p>
        </w:tc>
        <w:tc>
          <w:tcPr>
            <w:tcW w:w="1398" w:type="dxa"/>
            <w:tcBorders>
              <w:left w:val="single" w:sz="4" w:space="0" w:color="000000" w:themeColor="text1"/>
            </w:tcBorders>
          </w:tcPr>
          <w:p w14:paraId="325ADFF0"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11 770</w:t>
            </w:r>
          </w:p>
        </w:tc>
        <w:tc>
          <w:tcPr>
            <w:tcW w:w="1174" w:type="dxa"/>
          </w:tcPr>
          <w:p w14:paraId="634DCFD4"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1,3</w:t>
            </w:r>
          </w:p>
        </w:tc>
      </w:tr>
      <w:tr w:rsidR="002E5705" w:rsidRPr="00132F7C" w14:paraId="69CE4426" w14:textId="77777777" w:rsidTr="00961F49">
        <w:tc>
          <w:tcPr>
            <w:tcW w:w="2344" w:type="dxa"/>
            <w:vMerge/>
            <w:tcBorders>
              <w:top w:val="dotted" w:sz="4" w:space="0" w:color="auto"/>
              <w:bottom w:val="dotted" w:sz="4" w:space="0" w:color="auto"/>
            </w:tcBorders>
            <w:vAlign w:val="center"/>
          </w:tcPr>
          <w:p w14:paraId="784B077D" w14:textId="77777777" w:rsidR="002E5705" w:rsidRDefault="002E5705" w:rsidP="002861BE">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716B4C61" w14:textId="31BD5EC1" w:rsidR="002E5705" w:rsidRPr="00BC6FBB" w:rsidRDefault="002E5705" w:rsidP="002861BE">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emerytura, renta lub inne niezarobkowe źródło</w:t>
            </w:r>
          </w:p>
        </w:tc>
        <w:tc>
          <w:tcPr>
            <w:tcW w:w="1398" w:type="dxa"/>
            <w:tcBorders>
              <w:left w:val="single" w:sz="4" w:space="0" w:color="000000" w:themeColor="text1"/>
            </w:tcBorders>
          </w:tcPr>
          <w:p w14:paraId="3C5E1CC0"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206 378</w:t>
            </w:r>
          </w:p>
        </w:tc>
        <w:tc>
          <w:tcPr>
            <w:tcW w:w="1174" w:type="dxa"/>
          </w:tcPr>
          <w:p w14:paraId="0181C0CE" w14:textId="77777777" w:rsidR="002E5705" w:rsidRPr="00804BFA" w:rsidRDefault="002E5705" w:rsidP="002861BE">
            <w:pPr>
              <w:autoSpaceDE w:val="0"/>
              <w:autoSpaceDN w:val="0"/>
              <w:adjustRightInd w:val="0"/>
              <w:spacing w:after="0" w:line="276" w:lineRule="auto"/>
              <w:jc w:val="center"/>
              <w:rPr>
                <w:rFonts w:cs="Arial"/>
                <w:sz w:val="20"/>
                <w:szCs w:val="20"/>
                <w:lang w:val="en-GB"/>
              </w:rPr>
            </w:pPr>
            <w:r w:rsidRPr="00377A7F">
              <w:rPr>
                <w:sz w:val="20"/>
                <w:szCs w:val="20"/>
              </w:rPr>
              <w:t>4,1</w:t>
            </w:r>
          </w:p>
        </w:tc>
      </w:tr>
    </w:tbl>
    <w:p w14:paraId="20A30E26" w14:textId="77777777" w:rsidR="00E47F14" w:rsidRDefault="00E47F14" w:rsidP="62B9D32A">
      <w:pPr>
        <w:pStyle w:val="Normal1"/>
      </w:pPr>
    </w:p>
    <w:p w14:paraId="741EBF44" w14:textId="3C2B7A97" w:rsidR="00B00061" w:rsidRPr="002011E0" w:rsidRDefault="002011E0" w:rsidP="62B9D32A">
      <w:pPr>
        <w:pStyle w:val="Normal1"/>
      </w:pPr>
      <w:r w:rsidRPr="002011E0">
        <w:t>Rekomendujemy</w:t>
      </w:r>
      <w:r w:rsidR="00AA63A9" w:rsidRPr="002011E0">
        <w:t xml:space="preserve"> dwa możliwe rozwiązania. Po pierwsze, </w:t>
      </w:r>
      <w:r>
        <w:t>wskaźnik</w:t>
      </w:r>
      <w:r w:rsidR="00AA63A9" w:rsidRPr="002011E0">
        <w:t xml:space="preserve"> mo</w:t>
      </w:r>
      <w:r>
        <w:t xml:space="preserve">żna obliczyć na podstawie bazy </w:t>
      </w:r>
      <w:r w:rsidR="00AA63A9" w:rsidRPr="002011E0">
        <w:t>EU</w:t>
      </w:r>
      <w:r>
        <w:t>-SILC.</w:t>
      </w:r>
      <w:r w:rsidR="00AA63A9" w:rsidRPr="002011E0">
        <w:t xml:space="preserve"> </w:t>
      </w:r>
      <w:r w:rsidR="00E47F14">
        <w:t>W</w:t>
      </w:r>
      <w:r>
        <w:t xml:space="preserve">skaźnik </w:t>
      </w:r>
      <w:r w:rsidR="00AA63A9" w:rsidRPr="002011E0">
        <w:t xml:space="preserve">Zaległości </w:t>
      </w:r>
      <w:r>
        <w:t>na rachunkach</w:t>
      </w:r>
      <w:r w:rsidR="00E47F14">
        <w:t xml:space="preserve"> (EU-SILC)</w:t>
      </w:r>
      <w:r w:rsidR="00AA63A9" w:rsidRPr="002011E0">
        <w:t xml:space="preserve"> uzyskał wysoką liczbę punktów we wstępnej ocenie</w:t>
      </w:r>
      <w:r w:rsidR="00E47F14">
        <w:t xml:space="preserve"> jakości danych</w:t>
      </w:r>
      <w:r w:rsidR="00AA63A9" w:rsidRPr="002011E0">
        <w:t xml:space="preserve"> (</w:t>
      </w:r>
      <w:r>
        <w:t>Produkt</w:t>
      </w:r>
      <w:r w:rsidR="00AA63A9" w:rsidRPr="002011E0">
        <w:t xml:space="preserve"> 2b). Na podstawie badania EU-SILC </w:t>
      </w:r>
      <w:r>
        <w:t>wskaźnik identyfikuje 9,5% udział</w:t>
      </w:r>
      <w:r w:rsidR="00AA63A9" w:rsidRPr="002011E0">
        <w:t xml:space="preserve"> </w:t>
      </w:r>
      <w:r>
        <w:t xml:space="preserve">ubogich energetycznie </w:t>
      </w:r>
      <w:r w:rsidR="00AA63A9" w:rsidRPr="002011E0">
        <w:t>gospodarstw domowych</w:t>
      </w:r>
      <w:r>
        <w:t xml:space="preserve"> </w:t>
      </w:r>
      <w:r w:rsidR="00AA63A9" w:rsidRPr="002011E0">
        <w:t xml:space="preserve">w Polsce w 2016 r. Po drugie, istnieje możliwość zmiany pytania w </w:t>
      </w:r>
      <w:r>
        <w:t>B</w:t>
      </w:r>
      <w:r w:rsidR="00AA63A9" w:rsidRPr="002011E0">
        <w:t xml:space="preserve">adaniu </w:t>
      </w:r>
      <w:r>
        <w:t>B</w:t>
      </w:r>
      <w:r w:rsidR="00AA63A9" w:rsidRPr="002011E0">
        <w:t>udżet</w:t>
      </w:r>
      <w:r>
        <w:t>ów</w:t>
      </w:r>
      <w:r w:rsidR="00AA63A9" w:rsidRPr="002011E0">
        <w:t xml:space="preserve"> </w:t>
      </w:r>
      <w:r>
        <w:t>G</w:t>
      </w:r>
      <w:r w:rsidR="00AA63A9" w:rsidRPr="002011E0">
        <w:t xml:space="preserve">ospodarstw </w:t>
      </w:r>
      <w:r>
        <w:t>D</w:t>
      </w:r>
      <w:r w:rsidR="00AA63A9" w:rsidRPr="002011E0">
        <w:t>omow</w:t>
      </w:r>
      <w:r>
        <w:t>ych</w:t>
      </w:r>
      <w:r w:rsidR="00AA63A9" w:rsidRPr="002011E0">
        <w:t xml:space="preserve">, </w:t>
      </w:r>
      <w:r w:rsidR="00E47F14">
        <w:t xml:space="preserve">tak </w:t>
      </w:r>
      <w:r w:rsidR="00AA63A9" w:rsidRPr="002011E0">
        <w:t xml:space="preserve">aby dopasować je do metody stosowanej </w:t>
      </w:r>
      <w:r>
        <w:t>na poziomie</w:t>
      </w:r>
      <w:r w:rsidR="00AA63A9" w:rsidRPr="002011E0">
        <w:t xml:space="preserve"> UE. </w:t>
      </w:r>
      <w:r w:rsidR="00E47F14">
        <w:t>Dlatego</w:t>
      </w:r>
      <w:r>
        <w:t xml:space="preserve"> rekomendujemy</w:t>
      </w:r>
      <w:r w:rsidR="00AA63A9" w:rsidRPr="002011E0">
        <w:t xml:space="preserve"> wyłącz</w:t>
      </w:r>
      <w:r>
        <w:t>enie</w:t>
      </w:r>
      <w:r w:rsidR="00AA63A9" w:rsidRPr="002011E0">
        <w:t xml:space="preserve"> </w:t>
      </w:r>
      <w:r>
        <w:t>Niezdolności do terminowego płacenia rachunków</w:t>
      </w:r>
      <w:r w:rsidR="00AA63A9" w:rsidRPr="002011E0">
        <w:t xml:space="preserve"> (na podstawie </w:t>
      </w:r>
      <w:r>
        <w:t>BBGD</w:t>
      </w:r>
      <w:r w:rsidR="00AA63A9" w:rsidRPr="002011E0">
        <w:t xml:space="preserve">) z zestawu wskaźników i </w:t>
      </w:r>
      <w:r>
        <w:t>wykorzystanie bazy danych</w:t>
      </w:r>
      <w:r w:rsidR="00AA63A9" w:rsidRPr="002011E0">
        <w:t xml:space="preserve"> EU-SILC lub </w:t>
      </w:r>
      <w:r>
        <w:t>wprowadzenie zmian</w:t>
      </w:r>
      <w:r w:rsidR="00AA63A9" w:rsidRPr="002011E0">
        <w:t xml:space="preserve"> w polskim badaniu.</w:t>
      </w:r>
    </w:p>
    <w:p w14:paraId="5A6B20D4" w14:textId="195882E4" w:rsidR="00122EC7" w:rsidRPr="002011E0" w:rsidRDefault="002011E0" w:rsidP="004E20B4">
      <w:pPr>
        <w:pStyle w:val="Nagwek2"/>
        <w:numPr>
          <w:ilvl w:val="1"/>
          <w:numId w:val="43"/>
        </w:numPr>
        <w:rPr>
          <w:b w:val="0"/>
        </w:rPr>
      </w:pPr>
      <w:bookmarkStart w:id="27" w:name="_Toc528189740"/>
      <w:r w:rsidRPr="002011E0">
        <w:t>Analiza przestrzenna</w:t>
      </w:r>
      <w:bookmarkEnd w:id="27"/>
    </w:p>
    <w:p w14:paraId="5D86D023" w14:textId="7B4DD4E8" w:rsidR="002011E0" w:rsidRPr="002011E0" w:rsidRDefault="002011E0" w:rsidP="002011E0">
      <w:pPr>
        <w:autoSpaceDE w:val="0"/>
        <w:autoSpaceDN w:val="0"/>
        <w:adjustRightInd w:val="0"/>
        <w:spacing w:after="0" w:line="276" w:lineRule="auto"/>
        <w:jc w:val="both"/>
        <w:rPr>
          <w:rFonts w:cs="Arial"/>
          <w:sz w:val="20"/>
          <w:szCs w:val="20"/>
        </w:rPr>
      </w:pPr>
      <w:r>
        <w:rPr>
          <w:rFonts w:cs="Arial"/>
          <w:sz w:val="20"/>
          <w:szCs w:val="20"/>
        </w:rPr>
        <w:t>W rozdziale p</w:t>
      </w:r>
      <w:r w:rsidRPr="002011E0">
        <w:rPr>
          <w:rFonts w:cs="Arial"/>
          <w:sz w:val="20"/>
          <w:szCs w:val="20"/>
        </w:rPr>
        <w:t>rezentujemy analizę każdego wskaźnika według</w:t>
      </w:r>
      <w:r w:rsidR="00F73EB4">
        <w:rPr>
          <w:rFonts w:cs="Arial"/>
          <w:sz w:val="20"/>
          <w:szCs w:val="20"/>
        </w:rPr>
        <w:t xml:space="preserve"> podziału na</w:t>
      </w:r>
      <w:r w:rsidRPr="002011E0">
        <w:rPr>
          <w:rFonts w:cs="Arial"/>
          <w:sz w:val="20"/>
          <w:szCs w:val="20"/>
        </w:rPr>
        <w:t xml:space="preserve"> województw</w:t>
      </w:r>
      <w:r w:rsidR="00F73EB4">
        <w:rPr>
          <w:rFonts w:cs="Arial"/>
          <w:sz w:val="20"/>
          <w:szCs w:val="20"/>
        </w:rPr>
        <w:t>a</w:t>
      </w:r>
      <w:r w:rsidRPr="002011E0">
        <w:rPr>
          <w:rFonts w:cs="Arial"/>
          <w:sz w:val="20"/>
          <w:szCs w:val="20"/>
        </w:rPr>
        <w:t xml:space="preserve"> (NUTS-2). </w:t>
      </w:r>
      <w:r w:rsidR="00274B67">
        <w:rPr>
          <w:rFonts w:cs="Arial"/>
          <w:sz w:val="20"/>
          <w:szCs w:val="20"/>
        </w:rPr>
        <w:t>Analiza powinna</w:t>
      </w:r>
      <w:r w:rsidRPr="002011E0">
        <w:rPr>
          <w:rFonts w:cs="Arial"/>
          <w:sz w:val="20"/>
          <w:szCs w:val="20"/>
        </w:rPr>
        <w:t xml:space="preserve"> </w:t>
      </w:r>
      <w:r w:rsidR="00274B67">
        <w:rPr>
          <w:rFonts w:cs="Arial"/>
          <w:sz w:val="20"/>
          <w:szCs w:val="20"/>
        </w:rPr>
        <w:t>dostarczyć</w:t>
      </w:r>
      <w:r w:rsidRPr="002011E0">
        <w:rPr>
          <w:rFonts w:cs="Arial"/>
          <w:sz w:val="20"/>
          <w:szCs w:val="20"/>
        </w:rPr>
        <w:t xml:space="preserve"> szczegółowych informacji na temat ubóstwa energetycznego w regionach</w:t>
      </w:r>
      <w:r w:rsidR="00274B67">
        <w:rPr>
          <w:rFonts w:cs="Arial"/>
          <w:sz w:val="20"/>
          <w:szCs w:val="20"/>
        </w:rPr>
        <w:t xml:space="preserve"> w Polsce</w:t>
      </w:r>
      <w:r w:rsidRPr="002011E0">
        <w:rPr>
          <w:rFonts w:cs="Arial"/>
          <w:sz w:val="20"/>
          <w:szCs w:val="20"/>
        </w:rPr>
        <w:t xml:space="preserve">. </w:t>
      </w:r>
      <w:r w:rsidR="00274B67">
        <w:rPr>
          <w:rFonts w:cs="Arial"/>
          <w:sz w:val="20"/>
          <w:szCs w:val="20"/>
        </w:rPr>
        <w:t>Dlatego odnosimy wskaźniki do charakterystyk</w:t>
      </w:r>
      <w:r w:rsidRPr="002011E0">
        <w:rPr>
          <w:rFonts w:cs="Arial"/>
          <w:sz w:val="20"/>
          <w:szCs w:val="20"/>
        </w:rPr>
        <w:t xml:space="preserve"> społeczn</w:t>
      </w:r>
      <w:r w:rsidR="00274B67">
        <w:rPr>
          <w:rFonts w:cs="Arial"/>
          <w:sz w:val="20"/>
          <w:szCs w:val="20"/>
        </w:rPr>
        <w:t xml:space="preserve">ych i </w:t>
      </w:r>
      <w:r w:rsidRPr="002011E0">
        <w:rPr>
          <w:rFonts w:cs="Arial"/>
          <w:sz w:val="20"/>
          <w:szCs w:val="20"/>
        </w:rPr>
        <w:t>ekonomicznych region</w:t>
      </w:r>
      <w:r w:rsidR="00274B67">
        <w:rPr>
          <w:rFonts w:cs="Arial"/>
          <w:sz w:val="20"/>
          <w:szCs w:val="20"/>
        </w:rPr>
        <w:t>ów</w:t>
      </w:r>
      <w:r w:rsidRPr="002011E0">
        <w:rPr>
          <w:rFonts w:cs="Arial"/>
          <w:sz w:val="20"/>
          <w:szCs w:val="20"/>
        </w:rPr>
        <w:t>.</w:t>
      </w:r>
    </w:p>
    <w:p w14:paraId="17EBC58E" w14:textId="77777777" w:rsidR="002011E0" w:rsidRPr="002011E0" w:rsidRDefault="002011E0" w:rsidP="002011E0">
      <w:pPr>
        <w:autoSpaceDE w:val="0"/>
        <w:autoSpaceDN w:val="0"/>
        <w:adjustRightInd w:val="0"/>
        <w:spacing w:after="0" w:line="276" w:lineRule="auto"/>
        <w:jc w:val="both"/>
        <w:rPr>
          <w:rFonts w:cs="Arial"/>
          <w:sz w:val="20"/>
          <w:szCs w:val="20"/>
        </w:rPr>
      </w:pPr>
    </w:p>
    <w:p w14:paraId="4B068F35" w14:textId="4A06C7E3" w:rsidR="002011E0" w:rsidRPr="002011E0" w:rsidRDefault="00274B67" w:rsidP="002011E0">
      <w:pPr>
        <w:autoSpaceDE w:val="0"/>
        <w:autoSpaceDN w:val="0"/>
        <w:adjustRightInd w:val="0"/>
        <w:spacing w:after="0" w:line="276" w:lineRule="auto"/>
        <w:jc w:val="both"/>
        <w:rPr>
          <w:rFonts w:cs="Arial"/>
          <w:sz w:val="20"/>
          <w:szCs w:val="20"/>
        </w:rPr>
      </w:pPr>
      <w:r>
        <w:rPr>
          <w:rFonts w:cs="Arial"/>
          <w:sz w:val="20"/>
          <w:szCs w:val="20"/>
        </w:rPr>
        <w:t>M</w:t>
      </w:r>
      <w:r w:rsidR="002011E0" w:rsidRPr="002011E0">
        <w:rPr>
          <w:rFonts w:cs="Arial"/>
          <w:sz w:val="20"/>
          <w:szCs w:val="20"/>
        </w:rPr>
        <w:t xml:space="preserve">ieszkańcy dwóch </w:t>
      </w:r>
      <w:r>
        <w:rPr>
          <w:rFonts w:cs="Arial"/>
          <w:sz w:val="20"/>
          <w:szCs w:val="20"/>
        </w:rPr>
        <w:t>województw</w:t>
      </w:r>
      <w:r w:rsidR="002011E0" w:rsidRPr="002011E0">
        <w:rPr>
          <w:rFonts w:cs="Arial"/>
          <w:sz w:val="20"/>
          <w:szCs w:val="20"/>
        </w:rPr>
        <w:t xml:space="preserve"> są </w:t>
      </w:r>
      <w:r>
        <w:rPr>
          <w:rFonts w:cs="Arial"/>
          <w:sz w:val="20"/>
          <w:szCs w:val="20"/>
        </w:rPr>
        <w:t>najbardziej narażeni na</w:t>
      </w:r>
      <w:r w:rsidR="002011E0" w:rsidRPr="002011E0">
        <w:rPr>
          <w:rFonts w:cs="Arial"/>
          <w:sz w:val="20"/>
          <w:szCs w:val="20"/>
        </w:rPr>
        <w:t xml:space="preserve"> ubóstw</w:t>
      </w:r>
      <w:r>
        <w:rPr>
          <w:rFonts w:cs="Arial"/>
          <w:sz w:val="20"/>
          <w:szCs w:val="20"/>
        </w:rPr>
        <w:t>o energetyczne</w:t>
      </w:r>
      <w:r w:rsidR="002011E0" w:rsidRPr="002011E0">
        <w:rPr>
          <w:rFonts w:cs="Arial"/>
          <w:sz w:val="20"/>
          <w:szCs w:val="20"/>
        </w:rPr>
        <w:t xml:space="preserve">, </w:t>
      </w:r>
      <w:r>
        <w:rPr>
          <w:rFonts w:cs="Arial"/>
          <w:sz w:val="20"/>
          <w:szCs w:val="20"/>
        </w:rPr>
        <w:t xml:space="preserve">co wynika z </w:t>
      </w:r>
      <w:r w:rsidR="002011E0" w:rsidRPr="002011E0">
        <w:rPr>
          <w:rFonts w:cs="Arial"/>
          <w:sz w:val="20"/>
          <w:szCs w:val="20"/>
        </w:rPr>
        <w:t>wielowymiarowej analiz</w:t>
      </w:r>
      <w:r>
        <w:rPr>
          <w:rFonts w:cs="Arial"/>
          <w:sz w:val="20"/>
          <w:szCs w:val="20"/>
        </w:rPr>
        <w:t>y wskaźników opartych na</w:t>
      </w:r>
      <w:r w:rsidR="002011E0" w:rsidRPr="002011E0">
        <w:rPr>
          <w:rFonts w:cs="Arial"/>
          <w:sz w:val="20"/>
          <w:szCs w:val="20"/>
        </w:rPr>
        <w:t xml:space="preserve"> wydatk</w:t>
      </w:r>
      <w:r>
        <w:rPr>
          <w:rFonts w:cs="Arial"/>
          <w:sz w:val="20"/>
          <w:szCs w:val="20"/>
        </w:rPr>
        <w:t xml:space="preserve">ach i </w:t>
      </w:r>
      <w:r w:rsidR="002011E0" w:rsidRPr="002011E0">
        <w:rPr>
          <w:rFonts w:cs="Arial"/>
          <w:sz w:val="20"/>
          <w:szCs w:val="20"/>
        </w:rPr>
        <w:t>własn</w:t>
      </w:r>
      <w:r>
        <w:rPr>
          <w:rFonts w:cs="Arial"/>
          <w:sz w:val="20"/>
          <w:szCs w:val="20"/>
        </w:rPr>
        <w:t>ej ocenie sytuacji gospodarstwa domowego</w:t>
      </w:r>
      <w:r w:rsidR="002011E0" w:rsidRPr="002011E0">
        <w:rPr>
          <w:rFonts w:cs="Arial"/>
          <w:sz w:val="20"/>
          <w:szCs w:val="20"/>
        </w:rPr>
        <w:t xml:space="preserve">. Kujawsko-pomorskie i warmińsko-mazurskie </w:t>
      </w:r>
      <w:r>
        <w:rPr>
          <w:rFonts w:cs="Arial"/>
          <w:sz w:val="20"/>
          <w:szCs w:val="20"/>
        </w:rPr>
        <w:t>zostały zidentyfikowane przez</w:t>
      </w:r>
      <w:r w:rsidR="00C3540E">
        <w:rPr>
          <w:rFonts w:cs="Arial"/>
          <w:sz w:val="20"/>
          <w:szCs w:val="20"/>
        </w:rPr>
        <w:t xml:space="preserve"> największą liczbę</w:t>
      </w:r>
      <w:r w:rsidR="002011E0" w:rsidRPr="002011E0">
        <w:rPr>
          <w:rFonts w:cs="Arial"/>
          <w:sz w:val="20"/>
          <w:szCs w:val="20"/>
        </w:rPr>
        <w:t xml:space="preserve"> wskaźników, zarówno pod względem </w:t>
      </w:r>
      <w:r>
        <w:rPr>
          <w:rFonts w:cs="Arial"/>
          <w:sz w:val="20"/>
          <w:szCs w:val="20"/>
        </w:rPr>
        <w:t>aspektów ekonomicznych</w:t>
      </w:r>
      <w:r w:rsidR="002011E0" w:rsidRPr="002011E0">
        <w:rPr>
          <w:rFonts w:cs="Arial"/>
          <w:sz w:val="20"/>
          <w:szCs w:val="20"/>
        </w:rPr>
        <w:t>, jak</w:t>
      </w:r>
      <w:r w:rsidR="00C3540E">
        <w:rPr>
          <w:rFonts w:cs="Arial"/>
          <w:sz w:val="20"/>
          <w:szCs w:val="20"/>
        </w:rPr>
        <w:t xml:space="preserve"> i</w:t>
      </w:r>
      <w:r w:rsidR="002011E0" w:rsidRPr="002011E0">
        <w:rPr>
          <w:rFonts w:cs="Arial"/>
          <w:sz w:val="20"/>
          <w:szCs w:val="20"/>
        </w:rPr>
        <w:t xml:space="preserve"> </w:t>
      </w:r>
      <w:r>
        <w:rPr>
          <w:rFonts w:cs="Arial"/>
          <w:sz w:val="20"/>
          <w:szCs w:val="20"/>
        </w:rPr>
        <w:t>postrzegania własnej sytuacji przez gospodarstwa domowe.</w:t>
      </w:r>
      <w:r w:rsidR="002011E0" w:rsidRPr="002011E0">
        <w:rPr>
          <w:rFonts w:cs="Arial"/>
          <w:sz w:val="20"/>
          <w:szCs w:val="20"/>
        </w:rPr>
        <w:t xml:space="preserve"> Wynika to głównie z </w:t>
      </w:r>
      <w:r>
        <w:rPr>
          <w:rFonts w:cs="Arial"/>
          <w:sz w:val="20"/>
          <w:szCs w:val="20"/>
        </w:rPr>
        <w:t>ograniczonych</w:t>
      </w:r>
      <w:r w:rsidR="002011E0" w:rsidRPr="002011E0">
        <w:rPr>
          <w:rFonts w:cs="Arial"/>
          <w:sz w:val="20"/>
          <w:szCs w:val="20"/>
        </w:rPr>
        <w:t xml:space="preserve"> </w:t>
      </w:r>
      <w:r>
        <w:rPr>
          <w:rFonts w:cs="Arial"/>
          <w:sz w:val="20"/>
          <w:szCs w:val="20"/>
        </w:rPr>
        <w:t>możliwości</w:t>
      </w:r>
      <w:r w:rsidR="002011E0" w:rsidRPr="002011E0">
        <w:rPr>
          <w:rFonts w:cs="Arial"/>
          <w:sz w:val="20"/>
          <w:szCs w:val="20"/>
        </w:rPr>
        <w:t xml:space="preserve"> </w:t>
      </w:r>
      <w:r>
        <w:rPr>
          <w:rFonts w:cs="Arial"/>
          <w:sz w:val="20"/>
          <w:szCs w:val="20"/>
        </w:rPr>
        <w:t>finansowych</w:t>
      </w:r>
      <w:r w:rsidR="002011E0" w:rsidRPr="002011E0">
        <w:rPr>
          <w:rFonts w:cs="Arial"/>
          <w:sz w:val="20"/>
          <w:szCs w:val="20"/>
        </w:rPr>
        <w:t xml:space="preserve"> gospodarstw domowych w tych </w:t>
      </w:r>
      <w:r>
        <w:rPr>
          <w:rFonts w:cs="Arial"/>
          <w:sz w:val="20"/>
          <w:szCs w:val="20"/>
        </w:rPr>
        <w:t>województwach</w:t>
      </w:r>
      <w:r w:rsidR="002011E0" w:rsidRPr="002011E0">
        <w:rPr>
          <w:rFonts w:cs="Arial"/>
          <w:sz w:val="20"/>
          <w:szCs w:val="20"/>
        </w:rPr>
        <w:t xml:space="preserve">, </w:t>
      </w:r>
      <w:r>
        <w:rPr>
          <w:rFonts w:cs="Arial"/>
          <w:sz w:val="20"/>
          <w:szCs w:val="20"/>
        </w:rPr>
        <w:t>co jest rezultatem</w:t>
      </w:r>
      <w:r w:rsidR="002011E0" w:rsidRPr="002011E0">
        <w:rPr>
          <w:rFonts w:cs="Arial"/>
          <w:sz w:val="20"/>
          <w:szCs w:val="20"/>
        </w:rPr>
        <w:t xml:space="preserve"> połączenia wysokiego bezrobocia</w:t>
      </w:r>
      <w:r>
        <w:rPr>
          <w:rFonts w:cs="Arial"/>
          <w:sz w:val="20"/>
          <w:szCs w:val="20"/>
        </w:rPr>
        <w:t xml:space="preserve"> i niskich średnich dochodów</w:t>
      </w:r>
      <w:r w:rsidR="002011E0" w:rsidRPr="002011E0">
        <w:rPr>
          <w:rFonts w:cs="Arial"/>
          <w:sz w:val="20"/>
          <w:szCs w:val="20"/>
        </w:rPr>
        <w:t xml:space="preserve"> </w:t>
      </w:r>
      <w:r>
        <w:rPr>
          <w:rFonts w:cs="Arial"/>
          <w:sz w:val="20"/>
          <w:szCs w:val="20"/>
        </w:rPr>
        <w:t xml:space="preserve">(GUS, </w:t>
      </w:r>
      <w:r w:rsidR="002011E0" w:rsidRPr="002011E0">
        <w:rPr>
          <w:rFonts w:cs="Arial"/>
          <w:sz w:val="20"/>
          <w:szCs w:val="20"/>
        </w:rPr>
        <w:t>2017)</w:t>
      </w:r>
      <w:r>
        <w:rPr>
          <w:rFonts w:cs="Arial"/>
          <w:sz w:val="20"/>
          <w:szCs w:val="20"/>
        </w:rPr>
        <w:t>.</w:t>
      </w:r>
      <w:r w:rsidR="002011E0" w:rsidRPr="002011E0">
        <w:rPr>
          <w:rFonts w:cs="Arial"/>
          <w:sz w:val="20"/>
          <w:szCs w:val="20"/>
        </w:rPr>
        <w:t xml:space="preserve"> </w:t>
      </w:r>
      <w:r w:rsidR="00C3540E">
        <w:rPr>
          <w:rFonts w:cs="Arial"/>
          <w:sz w:val="20"/>
          <w:szCs w:val="20"/>
        </w:rPr>
        <w:t>W</w:t>
      </w:r>
      <w:r w:rsidR="002011E0" w:rsidRPr="002011E0">
        <w:rPr>
          <w:rFonts w:cs="Arial"/>
          <w:sz w:val="20"/>
          <w:szCs w:val="20"/>
        </w:rPr>
        <w:t>ojewództwa</w:t>
      </w:r>
      <w:r w:rsidR="00C3540E">
        <w:rPr>
          <w:rFonts w:cs="Arial"/>
          <w:sz w:val="20"/>
          <w:szCs w:val="20"/>
        </w:rPr>
        <w:t xml:space="preserve"> o najtrudniejszej sytuacji materialnej</w:t>
      </w:r>
      <w:r w:rsidR="002011E0" w:rsidRPr="002011E0">
        <w:rPr>
          <w:rFonts w:cs="Arial"/>
          <w:sz w:val="20"/>
          <w:szCs w:val="20"/>
        </w:rPr>
        <w:t>, lubelskie i podkarpackie</w:t>
      </w:r>
      <w:r w:rsidR="00C3540E">
        <w:rPr>
          <w:rFonts w:cs="Arial"/>
          <w:sz w:val="20"/>
          <w:szCs w:val="20"/>
        </w:rPr>
        <w:t>,</w:t>
      </w:r>
      <w:r w:rsidR="002011E0" w:rsidRPr="002011E0">
        <w:rPr>
          <w:rFonts w:cs="Arial"/>
          <w:sz w:val="20"/>
          <w:szCs w:val="20"/>
        </w:rPr>
        <w:t xml:space="preserve"> są identyfikowane przez większość wskaźników op</w:t>
      </w:r>
      <w:r>
        <w:rPr>
          <w:rFonts w:cs="Arial"/>
          <w:sz w:val="20"/>
          <w:szCs w:val="20"/>
        </w:rPr>
        <w:t>artych na dochodach/</w:t>
      </w:r>
      <w:r w:rsidR="002011E0" w:rsidRPr="002011E0">
        <w:rPr>
          <w:rFonts w:cs="Arial"/>
          <w:sz w:val="20"/>
          <w:szCs w:val="20"/>
        </w:rPr>
        <w:t xml:space="preserve">wydatkach. </w:t>
      </w:r>
      <w:r>
        <w:rPr>
          <w:rFonts w:cs="Arial"/>
          <w:sz w:val="20"/>
          <w:szCs w:val="20"/>
        </w:rPr>
        <w:t>W</w:t>
      </w:r>
      <w:r w:rsidR="002011E0" w:rsidRPr="002011E0">
        <w:rPr>
          <w:rFonts w:cs="Arial"/>
          <w:sz w:val="20"/>
          <w:szCs w:val="20"/>
        </w:rPr>
        <w:t>ojewództwo lubelskie, świętokrzyskie i zachodniopomorskie są wskazywane przez</w:t>
      </w:r>
      <w:r w:rsidR="00C3540E">
        <w:rPr>
          <w:rFonts w:cs="Arial"/>
          <w:sz w:val="20"/>
          <w:szCs w:val="20"/>
        </w:rPr>
        <w:t xml:space="preserve"> większość</w:t>
      </w:r>
      <w:r w:rsidR="002011E0" w:rsidRPr="002011E0">
        <w:rPr>
          <w:rFonts w:cs="Arial"/>
          <w:sz w:val="20"/>
          <w:szCs w:val="20"/>
        </w:rPr>
        <w:t xml:space="preserve"> </w:t>
      </w:r>
      <w:r>
        <w:rPr>
          <w:rFonts w:cs="Arial"/>
          <w:sz w:val="20"/>
          <w:szCs w:val="20"/>
        </w:rPr>
        <w:t>wskaźnik</w:t>
      </w:r>
      <w:r w:rsidR="00C3540E">
        <w:rPr>
          <w:rFonts w:cs="Arial"/>
          <w:sz w:val="20"/>
          <w:szCs w:val="20"/>
        </w:rPr>
        <w:t>ów</w:t>
      </w:r>
      <w:r>
        <w:rPr>
          <w:rFonts w:cs="Arial"/>
          <w:sz w:val="20"/>
          <w:szCs w:val="20"/>
        </w:rPr>
        <w:t xml:space="preserve"> opart</w:t>
      </w:r>
      <w:r w:rsidR="00C3540E">
        <w:rPr>
          <w:rFonts w:cs="Arial"/>
          <w:sz w:val="20"/>
          <w:szCs w:val="20"/>
        </w:rPr>
        <w:t>ych</w:t>
      </w:r>
      <w:r>
        <w:rPr>
          <w:rFonts w:cs="Arial"/>
          <w:sz w:val="20"/>
          <w:szCs w:val="20"/>
        </w:rPr>
        <w:t xml:space="preserve"> o samoocenę</w:t>
      </w:r>
      <w:r w:rsidR="002011E0" w:rsidRPr="002011E0">
        <w:rPr>
          <w:rFonts w:cs="Arial"/>
          <w:sz w:val="20"/>
          <w:szCs w:val="20"/>
        </w:rPr>
        <w:t xml:space="preserve">. </w:t>
      </w:r>
      <w:r>
        <w:rPr>
          <w:rFonts w:cs="Arial"/>
          <w:sz w:val="20"/>
          <w:szCs w:val="20"/>
        </w:rPr>
        <w:t xml:space="preserve">Wynika to głównie </w:t>
      </w:r>
      <w:r w:rsidR="002011E0" w:rsidRPr="002011E0">
        <w:rPr>
          <w:rFonts w:cs="Arial"/>
          <w:sz w:val="20"/>
          <w:szCs w:val="20"/>
        </w:rPr>
        <w:t>z różnic w charakterystyce budynków i</w:t>
      </w:r>
      <w:r>
        <w:rPr>
          <w:rFonts w:cs="Arial"/>
          <w:sz w:val="20"/>
          <w:szCs w:val="20"/>
        </w:rPr>
        <w:t xml:space="preserve"> subiektywnym</w:t>
      </w:r>
      <w:r w:rsidR="002011E0" w:rsidRPr="002011E0">
        <w:rPr>
          <w:rFonts w:cs="Arial"/>
          <w:sz w:val="20"/>
          <w:szCs w:val="20"/>
        </w:rPr>
        <w:t xml:space="preserve"> postrzeganiem komfortu cieplnego, </w:t>
      </w:r>
      <w:r>
        <w:rPr>
          <w:rFonts w:cs="Arial"/>
          <w:sz w:val="20"/>
          <w:szCs w:val="20"/>
        </w:rPr>
        <w:t>związanym ze</w:t>
      </w:r>
      <w:r w:rsidR="002011E0" w:rsidRPr="002011E0">
        <w:rPr>
          <w:rFonts w:cs="Arial"/>
          <w:sz w:val="20"/>
          <w:szCs w:val="20"/>
        </w:rPr>
        <w:t xml:space="preserve"> </w:t>
      </w:r>
      <w:r>
        <w:rPr>
          <w:rFonts w:cs="Arial"/>
          <w:sz w:val="20"/>
          <w:szCs w:val="20"/>
        </w:rPr>
        <w:t>z</w:t>
      </w:r>
      <w:r w:rsidR="002011E0" w:rsidRPr="002011E0">
        <w:rPr>
          <w:rFonts w:cs="Arial"/>
          <w:sz w:val="20"/>
          <w:szCs w:val="20"/>
        </w:rPr>
        <w:t>różn</w:t>
      </w:r>
      <w:r>
        <w:rPr>
          <w:rFonts w:cs="Arial"/>
          <w:sz w:val="20"/>
          <w:szCs w:val="20"/>
        </w:rPr>
        <w:t xml:space="preserve">icowaniem </w:t>
      </w:r>
      <w:r w:rsidR="002011E0" w:rsidRPr="002011E0">
        <w:rPr>
          <w:rFonts w:cs="Arial"/>
          <w:sz w:val="20"/>
          <w:szCs w:val="20"/>
        </w:rPr>
        <w:t>warunków klimatycznych.</w:t>
      </w:r>
    </w:p>
    <w:p w14:paraId="2158FCCB" w14:textId="1441B7BC" w:rsidR="002011E0" w:rsidRPr="002011E0" w:rsidRDefault="002011E0" w:rsidP="002011E0">
      <w:pPr>
        <w:autoSpaceDE w:val="0"/>
        <w:autoSpaceDN w:val="0"/>
        <w:adjustRightInd w:val="0"/>
        <w:spacing w:after="0" w:line="276" w:lineRule="auto"/>
        <w:jc w:val="both"/>
        <w:rPr>
          <w:rFonts w:cs="Arial"/>
          <w:sz w:val="20"/>
          <w:szCs w:val="20"/>
        </w:rPr>
      </w:pPr>
      <w:r w:rsidRPr="002011E0">
        <w:rPr>
          <w:rFonts w:cs="Arial"/>
          <w:sz w:val="20"/>
          <w:szCs w:val="20"/>
        </w:rPr>
        <w:t xml:space="preserve">Szczegółową </w:t>
      </w:r>
      <w:r w:rsidR="00274B67">
        <w:rPr>
          <w:rFonts w:cs="Arial"/>
          <w:sz w:val="20"/>
          <w:szCs w:val="20"/>
        </w:rPr>
        <w:t>analizę</w:t>
      </w:r>
      <w:r w:rsidRPr="002011E0">
        <w:rPr>
          <w:rFonts w:cs="Arial"/>
          <w:sz w:val="20"/>
          <w:szCs w:val="20"/>
        </w:rPr>
        <w:t xml:space="preserve"> ryzyka ubóstwa energetyczn</w:t>
      </w:r>
      <w:r w:rsidR="000933D0">
        <w:rPr>
          <w:rFonts w:cs="Arial"/>
          <w:sz w:val="20"/>
          <w:szCs w:val="20"/>
        </w:rPr>
        <w:t>ego według każdego wskaźnika w</w:t>
      </w:r>
      <w:r w:rsidRPr="002011E0">
        <w:rPr>
          <w:rFonts w:cs="Arial"/>
          <w:sz w:val="20"/>
          <w:szCs w:val="20"/>
        </w:rPr>
        <w:t xml:space="preserve"> </w:t>
      </w:r>
      <w:r w:rsidR="000933D0">
        <w:rPr>
          <w:rFonts w:cs="Arial"/>
          <w:sz w:val="20"/>
          <w:szCs w:val="20"/>
        </w:rPr>
        <w:t>województwach w Polsce</w:t>
      </w:r>
      <w:r w:rsidRPr="002011E0">
        <w:rPr>
          <w:rFonts w:cs="Arial"/>
          <w:sz w:val="20"/>
          <w:szCs w:val="20"/>
        </w:rPr>
        <w:t xml:space="preserve"> przedstawiono na rysunkach </w:t>
      </w:r>
      <w:r w:rsidR="000933D0">
        <w:rPr>
          <w:rFonts w:cs="Arial"/>
          <w:sz w:val="20"/>
          <w:szCs w:val="20"/>
        </w:rPr>
        <w:t>od 1</w:t>
      </w:r>
      <w:r w:rsidRPr="002011E0">
        <w:rPr>
          <w:rFonts w:cs="Arial"/>
          <w:sz w:val="20"/>
          <w:szCs w:val="20"/>
        </w:rPr>
        <w:t xml:space="preserve"> do </w:t>
      </w:r>
      <w:r w:rsidR="000933D0">
        <w:rPr>
          <w:rFonts w:cs="Arial"/>
          <w:sz w:val="20"/>
          <w:szCs w:val="20"/>
        </w:rPr>
        <w:t>5</w:t>
      </w:r>
      <w:r w:rsidRPr="002011E0">
        <w:rPr>
          <w:rFonts w:cs="Arial"/>
          <w:sz w:val="20"/>
          <w:szCs w:val="20"/>
        </w:rPr>
        <w:t>.</w:t>
      </w:r>
    </w:p>
    <w:p w14:paraId="7178E80E" w14:textId="77777777" w:rsidR="005E5569" w:rsidRPr="00BC6FBB" w:rsidRDefault="005E5569" w:rsidP="003E5930">
      <w:pPr>
        <w:autoSpaceDE w:val="0"/>
        <w:autoSpaceDN w:val="0"/>
        <w:adjustRightInd w:val="0"/>
        <w:spacing w:after="0" w:line="276" w:lineRule="auto"/>
        <w:rPr>
          <w:rFonts w:cs="Arial"/>
          <w:b/>
          <w:sz w:val="20"/>
          <w:szCs w:val="20"/>
        </w:rPr>
      </w:pPr>
    </w:p>
    <w:p w14:paraId="27B0D14C" w14:textId="1002483B" w:rsidR="00381A5B" w:rsidRPr="00BC6FBB" w:rsidRDefault="000933D0" w:rsidP="008A1D5E">
      <w:pPr>
        <w:autoSpaceDE w:val="0"/>
        <w:autoSpaceDN w:val="0"/>
        <w:adjustRightInd w:val="0"/>
        <w:spacing w:after="0" w:line="276" w:lineRule="auto"/>
        <w:rPr>
          <w:rFonts w:cs="Arial"/>
          <w:b/>
          <w:sz w:val="20"/>
          <w:szCs w:val="20"/>
        </w:rPr>
      </w:pPr>
      <w:r w:rsidRPr="000933D0">
        <w:rPr>
          <w:rFonts w:cs="Arial"/>
          <w:b/>
          <w:sz w:val="20"/>
          <w:szCs w:val="20"/>
        </w:rPr>
        <w:t xml:space="preserve">Rysunek </w:t>
      </w:r>
      <w:r>
        <w:rPr>
          <w:rFonts w:cs="Arial"/>
          <w:b/>
          <w:sz w:val="20"/>
          <w:szCs w:val="20"/>
        </w:rPr>
        <w:t>1</w:t>
      </w:r>
      <w:r w:rsidRPr="000933D0">
        <w:rPr>
          <w:rFonts w:cs="Arial"/>
          <w:b/>
          <w:sz w:val="20"/>
          <w:szCs w:val="20"/>
        </w:rPr>
        <w:t xml:space="preserve"> Udział ubogich energetycznie gospodarstw domowych [%] zidentyfikowanych przez Wysokie Koszty, Niskie Dochody w 2016 r. </w:t>
      </w:r>
      <w:r w:rsidR="00381A5B">
        <w:rPr>
          <w:rFonts w:cs="Arial"/>
          <w:b/>
          <w:noProof/>
          <w:sz w:val="20"/>
          <w:szCs w:val="20"/>
          <w:lang w:eastAsia="pl-PL"/>
        </w:rPr>
        <w:drawing>
          <wp:inline distT="0" distB="0" distL="0" distR="0" wp14:anchorId="584215F4" wp14:editId="3E355FD3">
            <wp:extent cx="5324475" cy="4475141"/>
            <wp:effectExtent l="0" t="0" r="0" b="1905"/>
            <wp:docPr id="4" name="Obraz 4" descr="C:\Users\Jakub SOKOLOWSKI\Desktop\Mapy\wyniki\mapy label\lih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kub SOKOLOWSKI\Desktop\Mapy\wyniki\mapy label\lihc.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26649" cy="4476968"/>
                    </a:xfrm>
                    <a:prstGeom prst="rect">
                      <a:avLst/>
                    </a:prstGeom>
                    <a:noFill/>
                    <a:ln>
                      <a:noFill/>
                    </a:ln>
                  </pic:spPr>
                </pic:pic>
              </a:graphicData>
            </a:graphic>
          </wp:inline>
        </w:drawing>
      </w:r>
    </w:p>
    <w:p w14:paraId="14419811" w14:textId="77777777" w:rsidR="00635DFE" w:rsidRPr="00BC6FBB" w:rsidRDefault="00635DFE" w:rsidP="00EB65FB">
      <w:pPr>
        <w:autoSpaceDE w:val="0"/>
        <w:autoSpaceDN w:val="0"/>
        <w:adjustRightInd w:val="0"/>
        <w:spacing w:after="0" w:line="276" w:lineRule="auto"/>
        <w:rPr>
          <w:rFonts w:cs="Arial"/>
          <w:sz w:val="20"/>
          <w:szCs w:val="20"/>
        </w:rPr>
      </w:pPr>
    </w:p>
    <w:p w14:paraId="63ECCE4D" w14:textId="77777777" w:rsidR="00E202F4" w:rsidRPr="00BC6FBB" w:rsidRDefault="00E202F4" w:rsidP="00C80521">
      <w:pPr>
        <w:autoSpaceDE w:val="0"/>
        <w:autoSpaceDN w:val="0"/>
        <w:adjustRightInd w:val="0"/>
        <w:spacing w:after="0" w:line="276" w:lineRule="auto"/>
        <w:jc w:val="both"/>
        <w:rPr>
          <w:rFonts w:cs="Arial"/>
          <w:sz w:val="20"/>
          <w:szCs w:val="20"/>
        </w:rPr>
      </w:pPr>
    </w:p>
    <w:p w14:paraId="1016CF06" w14:textId="0B670EF5" w:rsidR="00085BF7" w:rsidRDefault="000933D0" w:rsidP="005B120E">
      <w:pPr>
        <w:autoSpaceDE w:val="0"/>
        <w:autoSpaceDN w:val="0"/>
        <w:adjustRightInd w:val="0"/>
        <w:spacing w:after="0" w:line="276" w:lineRule="auto"/>
        <w:jc w:val="both"/>
        <w:rPr>
          <w:rFonts w:cs="Arial"/>
          <w:sz w:val="20"/>
          <w:szCs w:val="20"/>
        </w:rPr>
      </w:pPr>
      <w:r w:rsidRPr="000933D0">
        <w:rPr>
          <w:rFonts w:cs="Arial"/>
          <w:sz w:val="20"/>
          <w:szCs w:val="20"/>
        </w:rPr>
        <w:t xml:space="preserve">Według </w:t>
      </w:r>
      <w:r>
        <w:rPr>
          <w:rFonts w:cs="Arial"/>
          <w:sz w:val="20"/>
          <w:szCs w:val="20"/>
        </w:rPr>
        <w:t>wskaźnika</w:t>
      </w:r>
      <w:r w:rsidRPr="000933D0">
        <w:rPr>
          <w:rFonts w:cs="Arial"/>
          <w:sz w:val="20"/>
          <w:szCs w:val="20"/>
        </w:rPr>
        <w:t xml:space="preserve"> </w:t>
      </w:r>
      <w:r>
        <w:rPr>
          <w:rFonts w:cs="Arial"/>
          <w:sz w:val="20"/>
          <w:szCs w:val="20"/>
        </w:rPr>
        <w:t>Wysokie Koszty, Niskie Dochody,</w:t>
      </w:r>
      <w:r w:rsidRPr="000933D0">
        <w:rPr>
          <w:rFonts w:cs="Arial"/>
          <w:sz w:val="20"/>
          <w:szCs w:val="20"/>
        </w:rPr>
        <w:t xml:space="preserve"> największy udział ub</w:t>
      </w:r>
      <w:r>
        <w:rPr>
          <w:rFonts w:cs="Arial"/>
          <w:sz w:val="20"/>
          <w:szCs w:val="20"/>
        </w:rPr>
        <w:t>ogich energetycznie gospodarstw domowych</w:t>
      </w:r>
      <w:r w:rsidRPr="000933D0">
        <w:rPr>
          <w:rFonts w:cs="Arial"/>
          <w:sz w:val="20"/>
          <w:szCs w:val="20"/>
        </w:rPr>
        <w:t xml:space="preserve"> </w:t>
      </w:r>
      <w:r>
        <w:rPr>
          <w:rFonts w:cs="Arial"/>
          <w:sz w:val="20"/>
          <w:szCs w:val="20"/>
        </w:rPr>
        <w:t>występował</w:t>
      </w:r>
      <w:r w:rsidRPr="000933D0">
        <w:rPr>
          <w:rFonts w:cs="Arial"/>
          <w:sz w:val="20"/>
          <w:szCs w:val="20"/>
        </w:rPr>
        <w:t xml:space="preserve"> głównie</w:t>
      </w:r>
      <w:r w:rsidR="005B120E">
        <w:rPr>
          <w:rFonts w:cs="Arial"/>
          <w:sz w:val="20"/>
          <w:szCs w:val="20"/>
        </w:rPr>
        <w:t xml:space="preserve"> w</w:t>
      </w:r>
      <w:r w:rsidRPr="000933D0">
        <w:rPr>
          <w:rFonts w:cs="Arial"/>
          <w:sz w:val="20"/>
          <w:szCs w:val="20"/>
        </w:rPr>
        <w:t xml:space="preserve"> południowo-wschodnich województw</w:t>
      </w:r>
      <w:r w:rsidR="005B120E">
        <w:rPr>
          <w:rFonts w:cs="Arial"/>
          <w:sz w:val="20"/>
          <w:szCs w:val="20"/>
        </w:rPr>
        <w:t>ach</w:t>
      </w:r>
      <w:r w:rsidRPr="000933D0">
        <w:rPr>
          <w:rFonts w:cs="Arial"/>
          <w:sz w:val="20"/>
          <w:szCs w:val="20"/>
        </w:rPr>
        <w:t>: podkarpacki</w:t>
      </w:r>
      <w:r w:rsidR="005B120E">
        <w:rPr>
          <w:rFonts w:cs="Arial"/>
          <w:sz w:val="20"/>
          <w:szCs w:val="20"/>
        </w:rPr>
        <w:t>m</w:t>
      </w:r>
      <w:r w:rsidRPr="000933D0">
        <w:rPr>
          <w:rFonts w:cs="Arial"/>
          <w:sz w:val="20"/>
          <w:szCs w:val="20"/>
        </w:rPr>
        <w:t xml:space="preserve"> (15%) i lubelski</w:t>
      </w:r>
      <w:r w:rsidR="005B120E">
        <w:rPr>
          <w:rFonts w:cs="Arial"/>
          <w:sz w:val="20"/>
          <w:szCs w:val="20"/>
        </w:rPr>
        <w:t>m</w:t>
      </w:r>
      <w:r w:rsidRPr="000933D0">
        <w:rPr>
          <w:rFonts w:cs="Arial"/>
          <w:sz w:val="20"/>
          <w:szCs w:val="20"/>
        </w:rPr>
        <w:t xml:space="preserve"> (14%). </w:t>
      </w:r>
      <w:r w:rsidR="005B120E">
        <w:rPr>
          <w:rFonts w:cs="Arial"/>
          <w:sz w:val="20"/>
          <w:szCs w:val="20"/>
        </w:rPr>
        <w:t>W</w:t>
      </w:r>
      <w:r w:rsidRPr="000933D0">
        <w:rPr>
          <w:rFonts w:cs="Arial"/>
          <w:sz w:val="20"/>
          <w:szCs w:val="20"/>
        </w:rPr>
        <w:t xml:space="preserve">ynika to </w:t>
      </w:r>
      <w:r w:rsidR="005B120E">
        <w:rPr>
          <w:rFonts w:cs="Arial"/>
          <w:sz w:val="20"/>
          <w:szCs w:val="20"/>
        </w:rPr>
        <w:t>p</w:t>
      </w:r>
      <w:r w:rsidR="005B120E" w:rsidRPr="000933D0">
        <w:rPr>
          <w:rFonts w:cs="Arial"/>
          <w:sz w:val="20"/>
          <w:szCs w:val="20"/>
        </w:rPr>
        <w:t xml:space="preserve">rawdopodobnie </w:t>
      </w:r>
      <w:r w:rsidRPr="000933D0">
        <w:rPr>
          <w:rFonts w:cs="Arial"/>
          <w:sz w:val="20"/>
          <w:szCs w:val="20"/>
        </w:rPr>
        <w:t xml:space="preserve">z połączenia niskich średnich dochodów, wysokiego bezrobocia i wysokiego ryzyka ubóstwa dochodowego w tych regionach. Dodatkowo, </w:t>
      </w:r>
      <w:r w:rsidR="005B120E">
        <w:rPr>
          <w:rFonts w:cs="Arial"/>
          <w:sz w:val="20"/>
          <w:szCs w:val="20"/>
        </w:rPr>
        <w:t xml:space="preserve">wskaźnik identyfikuje wysoki udział ubóstwa energetycznego w </w:t>
      </w:r>
      <w:r w:rsidRPr="000933D0">
        <w:rPr>
          <w:rFonts w:cs="Arial"/>
          <w:sz w:val="20"/>
          <w:szCs w:val="20"/>
        </w:rPr>
        <w:t>opolski</w:t>
      </w:r>
      <w:r w:rsidR="005B120E">
        <w:rPr>
          <w:rFonts w:cs="Arial"/>
          <w:sz w:val="20"/>
          <w:szCs w:val="20"/>
        </w:rPr>
        <w:t>m</w:t>
      </w:r>
      <w:r w:rsidRPr="000933D0">
        <w:rPr>
          <w:rFonts w:cs="Arial"/>
          <w:sz w:val="20"/>
          <w:szCs w:val="20"/>
        </w:rPr>
        <w:t xml:space="preserve"> (14%), </w:t>
      </w:r>
      <w:r w:rsidR="005B120E">
        <w:rPr>
          <w:rFonts w:cs="Arial"/>
          <w:sz w:val="20"/>
          <w:szCs w:val="20"/>
        </w:rPr>
        <w:t xml:space="preserve">co </w:t>
      </w:r>
      <w:r w:rsidRPr="000933D0">
        <w:rPr>
          <w:rFonts w:cs="Arial"/>
          <w:sz w:val="20"/>
          <w:szCs w:val="20"/>
        </w:rPr>
        <w:t xml:space="preserve">jest </w:t>
      </w:r>
      <w:r w:rsidR="005B120E">
        <w:rPr>
          <w:rFonts w:cs="Arial"/>
          <w:sz w:val="20"/>
          <w:szCs w:val="20"/>
        </w:rPr>
        <w:t>związane z wysoką średnią powierzchnią mieszkaniową w województwie</w:t>
      </w:r>
      <w:r w:rsidRPr="000933D0">
        <w:rPr>
          <w:rFonts w:cs="Arial"/>
          <w:sz w:val="20"/>
          <w:szCs w:val="20"/>
        </w:rPr>
        <w:t xml:space="preserve"> (średnio ponad 80 m</w:t>
      </w:r>
      <w:r w:rsidRPr="005B120E">
        <w:rPr>
          <w:rFonts w:cs="Arial"/>
          <w:sz w:val="20"/>
          <w:szCs w:val="20"/>
          <w:vertAlign w:val="superscript"/>
        </w:rPr>
        <w:t>2</w:t>
      </w:r>
      <w:r w:rsidR="00C3540E">
        <w:rPr>
          <w:rFonts w:cs="Arial"/>
          <w:sz w:val="20"/>
          <w:szCs w:val="20"/>
        </w:rPr>
        <w:t xml:space="preserve"> na budynek;</w:t>
      </w:r>
      <w:r w:rsidRPr="000933D0">
        <w:rPr>
          <w:rFonts w:cs="Arial"/>
          <w:sz w:val="20"/>
          <w:szCs w:val="20"/>
        </w:rPr>
        <w:t xml:space="preserve"> </w:t>
      </w:r>
      <w:r w:rsidR="005B120E">
        <w:rPr>
          <w:rFonts w:cs="Arial"/>
          <w:sz w:val="20"/>
          <w:szCs w:val="20"/>
        </w:rPr>
        <w:t>GUS</w:t>
      </w:r>
      <w:r w:rsidRPr="000933D0">
        <w:rPr>
          <w:rFonts w:cs="Arial"/>
          <w:sz w:val="20"/>
          <w:szCs w:val="20"/>
        </w:rPr>
        <w:t xml:space="preserve">, 2017). </w:t>
      </w:r>
      <w:r w:rsidR="005B120E">
        <w:rPr>
          <w:rFonts w:cs="Arial"/>
          <w:sz w:val="20"/>
          <w:szCs w:val="20"/>
        </w:rPr>
        <w:t>Wskaźnik identyfikuje</w:t>
      </w:r>
      <w:r w:rsidRPr="000933D0">
        <w:rPr>
          <w:rFonts w:cs="Arial"/>
          <w:sz w:val="20"/>
          <w:szCs w:val="20"/>
        </w:rPr>
        <w:t xml:space="preserve"> podlaskie, warmińsko-mazurskie i kujawsko-pomorskie (12%), </w:t>
      </w:r>
      <w:r w:rsidR="005B120E">
        <w:rPr>
          <w:rFonts w:cs="Arial"/>
          <w:sz w:val="20"/>
          <w:szCs w:val="20"/>
        </w:rPr>
        <w:t>prawdopodobnie</w:t>
      </w:r>
      <w:r w:rsidRPr="000933D0">
        <w:rPr>
          <w:rFonts w:cs="Arial"/>
          <w:sz w:val="20"/>
          <w:szCs w:val="20"/>
        </w:rPr>
        <w:t xml:space="preserve"> ze względu na </w:t>
      </w:r>
      <w:r w:rsidR="005B120E">
        <w:rPr>
          <w:rFonts w:cs="Arial"/>
          <w:sz w:val="20"/>
          <w:szCs w:val="20"/>
        </w:rPr>
        <w:t>ograniczone możliwości finansowe gospodarstw domowych w regionach</w:t>
      </w:r>
      <w:r w:rsidRPr="000933D0">
        <w:rPr>
          <w:rFonts w:cs="Arial"/>
          <w:sz w:val="20"/>
          <w:szCs w:val="20"/>
        </w:rPr>
        <w:t>.</w:t>
      </w:r>
    </w:p>
    <w:p w14:paraId="5F350231" w14:textId="77777777" w:rsidR="005B120E" w:rsidRPr="005B120E" w:rsidRDefault="005B120E" w:rsidP="005B120E">
      <w:pPr>
        <w:autoSpaceDE w:val="0"/>
        <w:autoSpaceDN w:val="0"/>
        <w:adjustRightInd w:val="0"/>
        <w:spacing w:after="0" w:line="276" w:lineRule="auto"/>
        <w:jc w:val="both"/>
        <w:rPr>
          <w:rFonts w:cs="Arial"/>
          <w:sz w:val="20"/>
          <w:szCs w:val="20"/>
        </w:rPr>
      </w:pPr>
    </w:p>
    <w:p w14:paraId="12C5F764" w14:textId="0BB580C9" w:rsidR="00264A89" w:rsidRPr="00B17145" w:rsidRDefault="00C3540E" w:rsidP="00EB65FB">
      <w:pPr>
        <w:autoSpaceDE w:val="0"/>
        <w:autoSpaceDN w:val="0"/>
        <w:adjustRightInd w:val="0"/>
        <w:spacing w:after="0" w:line="276" w:lineRule="auto"/>
        <w:rPr>
          <w:rFonts w:cs="Arial"/>
          <w:b/>
          <w:sz w:val="20"/>
          <w:szCs w:val="20"/>
        </w:rPr>
      </w:pPr>
      <w:r>
        <w:rPr>
          <w:rFonts w:cs="Arial"/>
          <w:b/>
          <w:sz w:val="20"/>
          <w:szCs w:val="20"/>
        </w:rPr>
        <w:br w:type="column"/>
      </w:r>
      <w:r w:rsidR="00B17145">
        <w:rPr>
          <w:rFonts w:cs="Arial"/>
          <w:b/>
          <w:sz w:val="20"/>
          <w:szCs w:val="20"/>
        </w:rPr>
        <w:t>Rysunek</w:t>
      </w:r>
      <w:r w:rsidR="00DF7EB8" w:rsidRPr="00DF7EB8">
        <w:rPr>
          <w:rFonts w:cs="Arial"/>
          <w:b/>
          <w:sz w:val="20"/>
          <w:szCs w:val="20"/>
        </w:rPr>
        <w:t xml:space="preserve"> 2 Udział </w:t>
      </w:r>
      <w:r w:rsidR="00DF7EB8">
        <w:rPr>
          <w:rFonts w:cs="Arial"/>
          <w:b/>
          <w:sz w:val="20"/>
          <w:szCs w:val="20"/>
        </w:rPr>
        <w:t xml:space="preserve">ubogich energetycznie </w:t>
      </w:r>
      <w:r w:rsidR="00DF7EB8" w:rsidRPr="00DF7EB8">
        <w:rPr>
          <w:rFonts w:cs="Arial"/>
          <w:b/>
          <w:sz w:val="20"/>
          <w:szCs w:val="20"/>
        </w:rPr>
        <w:t xml:space="preserve">gospodarstw domowych [%] zidentyfikowanych przez </w:t>
      </w:r>
      <w:r w:rsidR="00DF7EB8">
        <w:rPr>
          <w:rFonts w:cs="Arial"/>
          <w:b/>
          <w:sz w:val="20"/>
          <w:szCs w:val="20"/>
        </w:rPr>
        <w:t xml:space="preserve">wskaźnik </w:t>
      </w:r>
      <w:r w:rsidR="00DF7EB8" w:rsidRPr="00DF7EB8">
        <w:rPr>
          <w:rFonts w:cs="Arial"/>
          <w:b/>
          <w:sz w:val="20"/>
          <w:szCs w:val="20"/>
        </w:rPr>
        <w:t xml:space="preserve">22% </w:t>
      </w:r>
      <w:r w:rsidR="00E556DC" w:rsidRPr="00D55E8C">
        <w:rPr>
          <w:rFonts w:cs="Arial"/>
          <w:b/>
          <w:sz w:val="20"/>
          <w:szCs w:val="20"/>
        </w:rPr>
        <w:t>Udział</w:t>
      </w:r>
      <w:r w:rsidR="00B17145">
        <w:rPr>
          <w:rFonts w:cs="Arial"/>
          <w:b/>
          <w:sz w:val="20"/>
          <w:szCs w:val="20"/>
        </w:rPr>
        <w:t>u</w:t>
      </w:r>
      <w:r w:rsidR="00E556DC" w:rsidRPr="00D55E8C">
        <w:rPr>
          <w:rFonts w:cs="Arial"/>
          <w:b/>
          <w:sz w:val="20"/>
          <w:szCs w:val="20"/>
        </w:rPr>
        <w:t xml:space="preserve"> wymaganych wydatków na energię względem dochodu</w:t>
      </w:r>
      <w:r w:rsidR="00DF7EB8" w:rsidRPr="00DF7EB8">
        <w:rPr>
          <w:rFonts w:cs="Arial"/>
          <w:b/>
          <w:sz w:val="20"/>
          <w:szCs w:val="20"/>
        </w:rPr>
        <w:t xml:space="preserve"> w 2016 r. </w:t>
      </w:r>
    </w:p>
    <w:p w14:paraId="167BA3B6" w14:textId="29D9B8DA" w:rsidR="00264A89" w:rsidRDefault="00264A89" w:rsidP="008A1D5E">
      <w:pPr>
        <w:autoSpaceDE w:val="0"/>
        <w:autoSpaceDN w:val="0"/>
        <w:adjustRightInd w:val="0"/>
        <w:spacing w:after="0" w:line="276" w:lineRule="auto"/>
        <w:rPr>
          <w:rFonts w:cs="Arial"/>
          <w:b/>
          <w:sz w:val="20"/>
          <w:szCs w:val="20"/>
          <w:lang w:val="en-GB"/>
        </w:rPr>
      </w:pPr>
      <w:r>
        <w:rPr>
          <w:rFonts w:cs="Arial"/>
          <w:b/>
          <w:noProof/>
          <w:sz w:val="20"/>
          <w:szCs w:val="20"/>
          <w:lang w:eastAsia="pl-PL"/>
        </w:rPr>
        <w:drawing>
          <wp:inline distT="0" distB="0" distL="0" distR="0" wp14:anchorId="7B5B780A" wp14:editId="2329122C">
            <wp:extent cx="5372100" cy="4279639"/>
            <wp:effectExtent l="0" t="0" r="0" b="6985"/>
            <wp:docPr id="9" name="Obraz 9" descr="C:\Users\Jakub SOKOLOWSKI\Dropbox\Technical support for defining measuring and monitoring energy poverty in Poland\Wskazniki\Mapy\22_pr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akub SOKOLOWSKI\Dropbox\Technical support for defining measuring and monitoring energy poverty in Poland\Wskazniki\Mapy\22_proc.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74293" cy="4281386"/>
                    </a:xfrm>
                    <a:prstGeom prst="rect">
                      <a:avLst/>
                    </a:prstGeom>
                    <a:noFill/>
                    <a:ln>
                      <a:noFill/>
                    </a:ln>
                  </pic:spPr>
                </pic:pic>
              </a:graphicData>
            </a:graphic>
          </wp:inline>
        </w:drawing>
      </w:r>
    </w:p>
    <w:p w14:paraId="73A45EA5" w14:textId="5FDA94A6" w:rsidR="00EE20E5" w:rsidRDefault="00B17145" w:rsidP="00B17145">
      <w:pPr>
        <w:autoSpaceDE w:val="0"/>
        <w:autoSpaceDN w:val="0"/>
        <w:adjustRightInd w:val="0"/>
        <w:spacing w:after="0" w:line="276" w:lineRule="auto"/>
        <w:jc w:val="both"/>
        <w:rPr>
          <w:rFonts w:cs="Arial"/>
          <w:sz w:val="20"/>
          <w:szCs w:val="20"/>
        </w:rPr>
      </w:pPr>
      <w:r w:rsidRPr="00B17145">
        <w:rPr>
          <w:rFonts w:cs="Arial"/>
          <w:sz w:val="20"/>
          <w:szCs w:val="20"/>
        </w:rPr>
        <w:t xml:space="preserve">Drugi wskaźnik </w:t>
      </w:r>
      <w:r>
        <w:rPr>
          <w:rFonts w:cs="Arial"/>
          <w:sz w:val="20"/>
          <w:szCs w:val="20"/>
        </w:rPr>
        <w:t>opierający się na dochodach</w:t>
      </w:r>
      <w:r w:rsidRPr="00B17145">
        <w:rPr>
          <w:rFonts w:cs="Arial"/>
          <w:sz w:val="20"/>
          <w:szCs w:val="20"/>
        </w:rPr>
        <w:t xml:space="preserve">, </w:t>
      </w:r>
      <w:r>
        <w:rPr>
          <w:rFonts w:cs="Arial"/>
          <w:sz w:val="20"/>
          <w:szCs w:val="20"/>
        </w:rPr>
        <w:t>„</w:t>
      </w:r>
      <w:r w:rsidRPr="00B17145">
        <w:rPr>
          <w:rFonts w:cs="Arial"/>
          <w:sz w:val="20"/>
          <w:szCs w:val="20"/>
        </w:rPr>
        <w:t>22% próg ubóstwa energetycznego</w:t>
      </w:r>
      <w:r>
        <w:rPr>
          <w:rFonts w:cs="Arial"/>
          <w:sz w:val="20"/>
          <w:szCs w:val="20"/>
        </w:rPr>
        <w:t>”</w:t>
      </w:r>
      <w:r w:rsidRPr="00B17145">
        <w:rPr>
          <w:rFonts w:cs="Arial"/>
          <w:sz w:val="20"/>
          <w:szCs w:val="20"/>
        </w:rPr>
        <w:t xml:space="preserve">, </w:t>
      </w:r>
      <w:r w:rsidR="00C3540E">
        <w:rPr>
          <w:rFonts w:cs="Arial"/>
          <w:sz w:val="20"/>
          <w:szCs w:val="20"/>
        </w:rPr>
        <w:t>pozwala na</w:t>
      </w:r>
      <w:r>
        <w:rPr>
          <w:rFonts w:cs="Arial"/>
          <w:sz w:val="20"/>
          <w:szCs w:val="20"/>
        </w:rPr>
        <w:t xml:space="preserve"> podobne wnioski na temat</w:t>
      </w:r>
      <w:r w:rsidRPr="00B17145">
        <w:rPr>
          <w:rFonts w:cs="Arial"/>
          <w:sz w:val="20"/>
          <w:szCs w:val="20"/>
        </w:rPr>
        <w:t xml:space="preserve"> ryzyka ubó</w:t>
      </w:r>
      <w:r w:rsidR="00C3540E">
        <w:rPr>
          <w:rFonts w:cs="Arial"/>
          <w:sz w:val="20"/>
          <w:szCs w:val="20"/>
        </w:rPr>
        <w:t>stwa energetycznego w regionach</w:t>
      </w:r>
      <w:r w:rsidRPr="00B17145">
        <w:rPr>
          <w:rFonts w:cs="Arial"/>
          <w:sz w:val="20"/>
          <w:szCs w:val="20"/>
        </w:rPr>
        <w:t xml:space="preserve"> jak </w:t>
      </w:r>
      <w:r>
        <w:rPr>
          <w:rFonts w:cs="Arial"/>
          <w:sz w:val="20"/>
          <w:szCs w:val="20"/>
        </w:rPr>
        <w:t>Wysokie Koszty, Niskie Dochody</w:t>
      </w:r>
      <w:r w:rsidRPr="00B17145">
        <w:rPr>
          <w:rFonts w:cs="Arial"/>
          <w:sz w:val="20"/>
          <w:szCs w:val="20"/>
        </w:rPr>
        <w:t xml:space="preserve">. Lubelskie (10%) i pomorskie (8%) to dwa </w:t>
      </w:r>
      <w:r>
        <w:rPr>
          <w:rFonts w:cs="Arial"/>
          <w:sz w:val="20"/>
          <w:szCs w:val="20"/>
        </w:rPr>
        <w:t>województwa</w:t>
      </w:r>
      <w:r w:rsidRPr="00B17145">
        <w:rPr>
          <w:rFonts w:cs="Arial"/>
          <w:sz w:val="20"/>
          <w:szCs w:val="20"/>
        </w:rPr>
        <w:t xml:space="preserve"> o najwyższym ryzyku ubóstwa energetycznego. Identyfikacja województwa pomorskiego wynika</w:t>
      </w:r>
      <w:r>
        <w:rPr>
          <w:rFonts w:cs="Arial"/>
          <w:sz w:val="20"/>
          <w:szCs w:val="20"/>
        </w:rPr>
        <w:t xml:space="preserve"> najprawdopodobniej</w:t>
      </w:r>
      <w:r w:rsidRPr="00B17145">
        <w:rPr>
          <w:rFonts w:cs="Arial"/>
          <w:sz w:val="20"/>
          <w:szCs w:val="20"/>
        </w:rPr>
        <w:t xml:space="preserve"> z wewnętrznych </w:t>
      </w:r>
      <w:r>
        <w:rPr>
          <w:rFonts w:cs="Arial"/>
          <w:sz w:val="20"/>
          <w:szCs w:val="20"/>
        </w:rPr>
        <w:t>nierówności</w:t>
      </w:r>
      <w:r w:rsidRPr="00B17145">
        <w:rPr>
          <w:rFonts w:cs="Arial"/>
          <w:sz w:val="20"/>
          <w:szCs w:val="20"/>
        </w:rPr>
        <w:t xml:space="preserve"> (duże różnice między zurbanizowanymi częściami województwa i obszar</w:t>
      </w:r>
      <w:r>
        <w:rPr>
          <w:rFonts w:cs="Arial"/>
          <w:sz w:val="20"/>
          <w:szCs w:val="20"/>
        </w:rPr>
        <w:t>ami</w:t>
      </w:r>
      <w:r w:rsidRPr="00B17145">
        <w:rPr>
          <w:rFonts w:cs="Arial"/>
          <w:sz w:val="20"/>
          <w:szCs w:val="20"/>
        </w:rPr>
        <w:t xml:space="preserve"> wiejski</w:t>
      </w:r>
      <w:r>
        <w:rPr>
          <w:rFonts w:cs="Arial"/>
          <w:sz w:val="20"/>
          <w:szCs w:val="20"/>
        </w:rPr>
        <w:t>mi</w:t>
      </w:r>
      <w:r w:rsidRPr="00B17145">
        <w:rPr>
          <w:rFonts w:cs="Arial"/>
          <w:sz w:val="20"/>
          <w:szCs w:val="20"/>
        </w:rPr>
        <w:t>). Najniższe ryzyko ubóstwa energetycznego występuje w zachodnich (4%) i centralnych województwach Polski (5%).</w:t>
      </w:r>
    </w:p>
    <w:p w14:paraId="60B452F5" w14:textId="77777777" w:rsidR="00B17145" w:rsidRPr="00B17145" w:rsidRDefault="00B17145" w:rsidP="00B17145">
      <w:pPr>
        <w:autoSpaceDE w:val="0"/>
        <w:autoSpaceDN w:val="0"/>
        <w:adjustRightInd w:val="0"/>
        <w:spacing w:after="0" w:line="276" w:lineRule="auto"/>
        <w:jc w:val="both"/>
        <w:rPr>
          <w:rFonts w:cs="Arial"/>
          <w:sz w:val="20"/>
          <w:szCs w:val="20"/>
        </w:rPr>
      </w:pPr>
    </w:p>
    <w:p w14:paraId="66934286" w14:textId="100F97D9" w:rsidR="00264A89" w:rsidRPr="00B17145" w:rsidRDefault="00C3540E" w:rsidP="00EB65FB">
      <w:pPr>
        <w:autoSpaceDE w:val="0"/>
        <w:autoSpaceDN w:val="0"/>
        <w:adjustRightInd w:val="0"/>
        <w:spacing w:after="0" w:line="276" w:lineRule="auto"/>
        <w:rPr>
          <w:rFonts w:cs="Arial"/>
          <w:b/>
          <w:sz w:val="20"/>
          <w:szCs w:val="20"/>
        </w:rPr>
      </w:pPr>
      <w:r>
        <w:rPr>
          <w:rFonts w:cs="Arial"/>
          <w:b/>
          <w:sz w:val="20"/>
          <w:szCs w:val="20"/>
        </w:rPr>
        <w:br w:type="column"/>
      </w:r>
      <w:r w:rsidR="00AD535F">
        <w:rPr>
          <w:rFonts w:cs="Arial"/>
          <w:b/>
          <w:sz w:val="20"/>
          <w:szCs w:val="20"/>
        </w:rPr>
        <w:t>Rysunek</w:t>
      </w:r>
      <w:r w:rsidR="00B17145" w:rsidRPr="00B17145">
        <w:rPr>
          <w:rFonts w:cs="Arial"/>
          <w:b/>
          <w:sz w:val="20"/>
          <w:szCs w:val="20"/>
        </w:rPr>
        <w:t xml:space="preserve"> 3 Udział </w:t>
      </w:r>
      <w:r w:rsidR="00B17145">
        <w:rPr>
          <w:rFonts w:cs="Arial"/>
          <w:b/>
          <w:sz w:val="20"/>
          <w:szCs w:val="20"/>
        </w:rPr>
        <w:t xml:space="preserve">ubogich energetycznie gospodarstw domowych </w:t>
      </w:r>
      <w:r w:rsidR="00B17145" w:rsidRPr="00B17145">
        <w:rPr>
          <w:rFonts w:cs="Arial"/>
          <w:b/>
          <w:sz w:val="20"/>
          <w:szCs w:val="20"/>
        </w:rPr>
        <w:t>[%] zidentyfikowany</w:t>
      </w:r>
      <w:r w:rsidR="00B17145">
        <w:rPr>
          <w:rFonts w:cs="Arial"/>
          <w:b/>
          <w:sz w:val="20"/>
          <w:szCs w:val="20"/>
        </w:rPr>
        <w:t>ch</w:t>
      </w:r>
      <w:r w:rsidR="00B17145" w:rsidRPr="00B17145">
        <w:rPr>
          <w:rFonts w:cs="Arial"/>
          <w:b/>
          <w:sz w:val="20"/>
          <w:szCs w:val="20"/>
        </w:rPr>
        <w:t xml:space="preserve"> przez </w:t>
      </w:r>
      <w:r w:rsidR="00B17145">
        <w:rPr>
          <w:rFonts w:cs="Arial"/>
          <w:b/>
          <w:sz w:val="20"/>
          <w:szCs w:val="20"/>
        </w:rPr>
        <w:t>p</w:t>
      </w:r>
      <w:r w:rsidR="00B17145" w:rsidRPr="00B36864">
        <w:rPr>
          <w:rFonts w:cs="Arial"/>
          <w:b/>
          <w:sz w:val="20"/>
          <w:szCs w:val="20"/>
        </w:rPr>
        <w:t>odwójn</w:t>
      </w:r>
      <w:r w:rsidR="00B17145">
        <w:rPr>
          <w:rFonts w:cs="Arial"/>
          <w:b/>
          <w:sz w:val="20"/>
          <w:szCs w:val="20"/>
        </w:rPr>
        <w:t>ą</w:t>
      </w:r>
      <w:r w:rsidR="00B17145" w:rsidRPr="00B36864">
        <w:rPr>
          <w:rFonts w:cs="Arial"/>
          <w:b/>
          <w:sz w:val="20"/>
          <w:szCs w:val="20"/>
        </w:rPr>
        <w:t xml:space="preserve"> median</w:t>
      </w:r>
      <w:r w:rsidR="00ED59B3">
        <w:rPr>
          <w:rFonts w:cs="Arial"/>
          <w:b/>
          <w:sz w:val="20"/>
          <w:szCs w:val="20"/>
        </w:rPr>
        <w:t>ę</w:t>
      </w:r>
      <w:r w:rsidR="00B17145" w:rsidRPr="00B36864">
        <w:rPr>
          <w:rFonts w:cs="Arial"/>
          <w:b/>
          <w:sz w:val="20"/>
          <w:szCs w:val="20"/>
        </w:rPr>
        <w:t xml:space="preserve"> wydatków na energię</w:t>
      </w:r>
      <w:r w:rsidR="00B17145" w:rsidRPr="00B36864">
        <w:rPr>
          <w:sz w:val="20"/>
          <w:szCs w:val="20"/>
        </w:rPr>
        <w:t xml:space="preserve"> </w:t>
      </w:r>
      <w:r w:rsidR="00B17145" w:rsidRPr="00B17145">
        <w:rPr>
          <w:b/>
          <w:sz w:val="20"/>
          <w:szCs w:val="20"/>
        </w:rPr>
        <w:t xml:space="preserve">w </w:t>
      </w:r>
      <w:r w:rsidR="00B17145" w:rsidRPr="00B17145">
        <w:rPr>
          <w:rFonts w:cs="Arial"/>
          <w:b/>
          <w:sz w:val="20"/>
          <w:szCs w:val="20"/>
        </w:rPr>
        <w:t>2016 r</w:t>
      </w:r>
      <w:r w:rsidR="00B17145">
        <w:rPr>
          <w:rFonts w:cs="Arial"/>
          <w:b/>
          <w:sz w:val="20"/>
          <w:szCs w:val="20"/>
        </w:rPr>
        <w:t>.</w:t>
      </w:r>
    </w:p>
    <w:p w14:paraId="1607C530" w14:textId="201CD29A" w:rsidR="00C80521" w:rsidRPr="00BC6FBB" w:rsidRDefault="00C80521" w:rsidP="00EB65FB">
      <w:pPr>
        <w:autoSpaceDE w:val="0"/>
        <w:autoSpaceDN w:val="0"/>
        <w:adjustRightInd w:val="0"/>
        <w:spacing w:after="0" w:line="276" w:lineRule="auto"/>
        <w:rPr>
          <w:rFonts w:cs="Arial"/>
          <w:sz w:val="20"/>
          <w:szCs w:val="20"/>
        </w:rPr>
      </w:pPr>
    </w:p>
    <w:p w14:paraId="66DBE301" w14:textId="0BAAFE24" w:rsidR="00264A89" w:rsidRDefault="00264A89" w:rsidP="008A1D5E">
      <w:pPr>
        <w:autoSpaceDE w:val="0"/>
        <w:autoSpaceDN w:val="0"/>
        <w:adjustRightInd w:val="0"/>
        <w:spacing w:after="0" w:line="276" w:lineRule="auto"/>
        <w:rPr>
          <w:rFonts w:cs="Arial"/>
          <w:b/>
          <w:sz w:val="20"/>
          <w:szCs w:val="20"/>
          <w:lang w:val="en-GB"/>
        </w:rPr>
      </w:pPr>
      <w:r>
        <w:rPr>
          <w:rFonts w:cs="Arial"/>
          <w:b/>
          <w:noProof/>
          <w:sz w:val="20"/>
          <w:szCs w:val="20"/>
          <w:lang w:eastAsia="pl-PL"/>
        </w:rPr>
        <w:drawing>
          <wp:inline distT="0" distB="0" distL="0" distR="0" wp14:anchorId="7C4D2DC9" wp14:editId="2D83F575">
            <wp:extent cx="5276850" cy="4095750"/>
            <wp:effectExtent l="0" t="0" r="0" b="0"/>
            <wp:docPr id="11" name="Obraz 11" descr="C:\Users\Jakub SOKOLOWSKI\Dropbox\Technical support for defining measuring and monitoring energy poverty in Poland\Wskazniki\Mapy\2_M.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C:\Users\Jakub SOKOLOWSKI\Dropbox\Technical support for defining measuring and monitoring energy poverty in Poland\Wskazniki\Mapy\2_M.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76850" cy="4095750"/>
                    </a:xfrm>
                    <a:prstGeom prst="rect">
                      <a:avLst/>
                    </a:prstGeom>
                    <a:noFill/>
                    <a:ln>
                      <a:noFill/>
                    </a:ln>
                  </pic:spPr>
                </pic:pic>
              </a:graphicData>
            </a:graphic>
          </wp:inline>
        </w:drawing>
      </w:r>
    </w:p>
    <w:p w14:paraId="646821A4" w14:textId="77777777" w:rsidR="00012A5F" w:rsidRPr="00012A5F" w:rsidRDefault="00012A5F" w:rsidP="00EB65FB">
      <w:pPr>
        <w:autoSpaceDE w:val="0"/>
        <w:autoSpaceDN w:val="0"/>
        <w:adjustRightInd w:val="0"/>
        <w:spacing w:after="0" w:line="276" w:lineRule="auto"/>
        <w:rPr>
          <w:rFonts w:cs="Arial"/>
          <w:b/>
          <w:sz w:val="20"/>
          <w:szCs w:val="20"/>
        </w:rPr>
      </w:pPr>
    </w:p>
    <w:p w14:paraId="2A0D234B" w14:textId="778626C4" w:rsidR="00B17145" w:rsidRPr="00B17145" w:rsidRDefault="00B17145" w:rsidP="000C6012">
      <w:pPr>
        <w:autoSpaceDE w:val="0"/>
        <w:autoSpaceDN w:val="0"/>
        <w:adjustRightInd w:val="0"/>
        <w:spacing w:after="0" w:line="276" w:lineRule="auto"/>
        <w:jc w:val="both"/>
        <w:rPr>
          <w:rFonts w:cs="Arial"/>
          <w:sz w:val="20"/>
          <w:szCs w:val="20"/>
        </w:rPr>
      </w:pPr>
      <w:r w:rsidRPr="00B17145">
        <w:rPr>
          <w:rFonts w:cs="Arial"/>
          <w:sz w:val="20"/>
          <w:szCs w:val="20"/>
        </w:rPr>
        <w:t>Według dwukrotności median</w:t>
      </w:r>
      <w:r>
        <w:rPr>
          <w:rFonts w:cs="Arial"/>
          <w:sz w:val="20"/>
          <w:szCs w:val="20"/>
        </w:rPr>
        <w:t>y</w:t>
      </w:r>
      <w:r w:rsidRPr="00B17145">
        <w:rPr>
          <w:rFonts w:cs="Arial"/>
          <w:sz w:val="20"/>
          <w:szCs w:val="20"/>
        </w:rPr>
        <w:t xml:space="preserve"> wydatków na energię, kujawsko-pomorskie (22%) to region o największym ryzyku ubóstwa energetycznego. Dwa regiony </w:t>
      </w:r>
      <w:r>
        <w:rPr>
          <w:rFonts w:cs="Arial"/>
          <w:sz w:val="20"/>
          <w:szCs w:val="20"/>
        </w:rPr>
        <w:t>o podobnej charakterystyce ekonomicznej</w:t>
      </w:r>
      <w:r w:rsidRPr="00B17145">
        <w:rPr>
          <w:rFonts w:cs="Arial"/>
          <w:sz w:val="20"/>
          <w:szCs w:val="20"/>
        </w:rPr>
        <w:t xml:space="preserve"> (</w:t>
      </w:r>
      <w:r>
        <w:rPr>
          <w:rFonts w:cs="Arial"/>
          <w:sz w:val="20"/>
          <w:szCs w:val="20"/>
        </w:rPr>
        <w:t xml:space="preserve">relatywnie </w:t>
      </w:r>
      <w:r w:rsidRPr="00B17145">
        <w:rPr>
          <w:rFonts w:cs="Arial"/>
          <w:sz w:val="20"/>
          <w:szCs w:val="20"/>
        </w:rPr>
        <w:t xml:space="preserve">niskie dochody, wysokie bezrobocie i ryzyko ubóstwa dochodowego), </w:t>
      </w:r>
      <w:r>
        <w:rPr>
          <w:rFonts w:cs="Arial"/>
          <w:sz w:val="20"/>
          <w:szCs w:val="20"/>
        </w:rPr>
        <w:t>w</w:t>
      </w:r>
      <w:r w:rsidRPr="00B17145">
        <w:rPr>
          <w:rFonts w:cs="Arial"/>
          <w:sz w:val="20"/>
          <w:szCs w:val="20"/>
        </w:rPr>
        <w:t>armińsko-mazurskie i podkarpackie, są identyfikowane na poziomie 20%</w:t>
      </w:r>
      <w:r>
        <w:rPr>
          <w:rFonts w:cs="Arial"/>
          <w:sz w:val="20"/>
          <w:szCs w:val="20"/>
        </w:rPr>
        <w:t xml:space="preserve"> ryzyka</w:t>
      </w:r>
      <w:r w:rsidRPr="00B17145">
        <w:rPr>
          <w:rFonts w:cs="Arial"/>
          <w:sz w:val="20"/>
          <w:szCs w:val="20"/>
        </w:rPr>
        <w:t xml:space="preserve">. Zachodniopomorskie i łódzkie są narażone na ten sam poziom ryzyka (20%), choć </w:t>
      </w:r>
      <w:r>
        <w:rPr>
          <w:rFonts w:cs="Arial"/>
          <w:sz w:val="20"/>
          <w:szCs w:val="20"/>
        </w:rPr>
        <w:t>różnią się pod względem charakterystyki</w:t>
      </w:r>
      <w:r w:rsidRPr="00B17145">
        <w:rPr>
          <w:rFonts w:cs="Arial"/>
          <w:sz w:val="20"/>
          <w:szCs w:val="20"/>
        </w:rPr>
        <w:t xml:space="preserve"> społeczn</w:t>
      </w:r>
      <w:r>
        <w:rPr>
          <w:rFonts w:cs="Arial"/>
          <w:sz w:val="20"/>
          <w:szCs w:val="20"/>
        </w:rPr>
        <w:t xml:space="preserve">ej i </w:t>
      </w:r>
      <w:r w:rsidRPr="00B17145">
        <w:rPr>
          <w:rFonts w:cs="Arial"/>
          <w:sz w:val="20"/>
          <w:szCs w:val="20"/>
        </w:rPr>
        <w:t>ekonomiczn</w:t>
      </w:r>
      <w:r>
        <w:rPr>
          <w:rFonts w:cs="Arial"/>
          <w:sz w:val="20"/>
          <w:szCs w:val="20"/>
        </w:rPr>
        <w:t>ej</w:t>
      </w:r>
      <w:r w:rsidRPr="00B17145">
        <w:rPr>
          <w:rFonts w:cs="Arial"/>
          <w:sz w:val="20"/>
          <w:szCs w:val="20"/>
        </w:rPr>
        <w:t xml:space="preserve">. </w:t>
      </w:r>
      <w:r>
        <w:rPr>
          <w:rFonts w:cs="Arial"/>
          <w:sz w:val="20"/>
          <w:szCs w:val="20"/>
        </w:rPr>
        <w:t xml:space="preserve">Wskaźnik identyfikuje </w:t>
      </w:r>
      <w:r w:rsidRPr="00B17145">
        <w:rPr>
          <w:rFonts w:cs="Arial"/>
          <w:sz w:val="20"/>
          <w:szCs w:val="20"/>
        </w:rPr>
        <w:t xml:space="preserve">ponad dwukrotnie większe ryzyko ubóstwa energetycznego w najbogatszych regionach Polski (mazowieckie, śląskie, dolnośląskie, małopolskie) niż inne </w:t>
      </w:r>
      <w:r w:rsidR="00ED59B3">
        <w:rPr>
          <w:rFonts w:cs="Arial"/>
          <w:sz w:val="20"/>
          <w:szCs w:val="20"/>
        </w:rPr>
        <w:t>wskaźniki</w:t>
      </w:r>
      <w:r w:rsidRPr="00B17145">
        <w:rPr>
          <w:rFonts w:cs="Arial"/>
          <w:sz w:val="20"/>
          <w:szCs w:val="20"/>
        </w:rPr>
        <w:t>. Wynika to z faktu, że koncentruje się</w:t>
      </w:r>
      <w:r>
        <w:rPr>
          <w:rFonts w:cs="Arial"/>
          <w:sz w:val="20"/>
          <w:szCs w:val="20"/>
        </w:rPr>
        <w:t xml:space="preserve"> on</w:t>
      </w:r>
      <w:r w:rsidRPr="00B17145">
        <w:rPr>
          <w:rFonts w:cs="Arial"/>
          <w:sz w:val="20"/>
          <w:szCs w:val="20"/>
        </w:rPr>
        <w:t xml:space="preserve"> na rzeczywistych poziomach wydatków. </w:t>
      </w:r>
      <w:r>
        <w:rPr>
          <w:rFonts w:cs="Arial"/>
          <w:sz w:val="20"/>
          <w:szCs w:val="20"/>
        </w:rPr>
        <w:t>Wskaźnik</w:t>
      </w:r>
      <w:r w:rsidRPr="00B17145">
        <w:rPr>
          <w:rFonts w:cs="Arial"/>
          <w:sz w:val="20"/>
          <w:szCs w:val="20"/>
        </w:rPr>
        <w:t xml:space="preserve"> zapewnia dodatkowe informacje na temat ubóstwa energetycznego </w:t>
      </w:r>
      <w:r>
        <w:rPr>
          <w:rFonts w:cs="Arial"/>
          <w:sz w:val="20"/>
          <w:szCs w:val="20"/>
        </w:rPr>
        <w:t xml:space="preserve">w </w:t>
      </w:r>
      <w:r w:rsidRPr="00B17145">
        <w:rPr>
          <w:rFonts w:cs="Arial"/>
          <w:sz w:val="20"/>
          <w:szCs w:val="20"/>
        </w:rPr>
        <w:t>regiona</w:t>
      </w:r>
      <w:r>
        <w:rPr>
          <w:rFonts w:cs="Arial"/>
          <w:sz w:val="20"/>
          <w:szCs w:val="20"/>
        </w:rPr>
        <w:t>ch</w:t>
      </w:r>
      <w:r w:rsidRPr="00B17145">
        <w:rPr>
          <w:rFonts w:cs="Arial"/>
          <w:sz w:val="20"/>
          <w:szCs w:val="20"/>
        </w:rPr>
        <w:t xml:space="preserve"> </w:t>
      </w:r>
      <w:r>
        <w:rPr>
          <w:rFonts w:cs="Arial"/>
          <w:sz w:val="20"/>
          <w:szCs w:val="20"/>
        </w:rPr>
        <w:t>z u</w:t>
      </w:r>
      <w:r w:rsidRPr="00B17145">
        <w:rPr>
          <w:rFonts w:cs="Arial"/>
          <w:sz w:val="20"/>
          <w:szCs w:val="20"/>
        </w:rPr>
        <w:t>względ</w:t>
      </w:r>
      <w:r>
        <w:rPr>
          <w:rFonts w:cs="Arial"/>
          <w:sz w:val="20"/>
          <w:szCs w:val="20"/>
        </w:rPr>
        <w:t>nieni</w:t>
      </w:r>
      <w:r w:rsidRPr="00B17145">
        <w:rPr>
          <w:rFonts w:cs="Arial"/>
          <w:sz w:val="20"/>
          <w:szCs w:val="20"/>
        </w:rPr>
        <w:t xml:space="preserve">em rzeczywistych wydatków </w:t>
      </w:r>
      <w:r>
        <w:rPr>
          <w:rFonts w:cs="Arial"/>
          <w:sz w:val="20"/>
          <w:szCs w:val="20"/>
        </w:rPr>
        <w:t>oraz</w:t>
      </w:r>
      <w:r w:rsidRPr="00B17145">
        <w:rPr>
          <w:rFonts w:cs="Arial"/>
          <w:sz w:val="20"/>
          <w:szCs w:val="20"/>
        </w:rPr>
        <w:t xml:space="preserve"> </w:t>
      </w:r>
      <w:r>
        <w:rPr>
          <w:rFonts w:cs="Arial"/>
          <w:sz w:val="20"/>
          <w:szCs w:val="20"/>
        </w:rPr>
        <w:t>informuje o wpływie</w:t>
      </w:r>
      <w:r w:rsidRPr="00B17145">
        <w:rPr>
          <w:rFonts w:cs="Arial"/>
          <w:sz w:val="20"/>
          <w:szCs w:val="20"/>
        </w:rPr>
        <w:t xml:space="preserve"> cen energii na sytuację gospodarstw domowych.</w:t>
      </w:r>
    </w:p>
    <w:p w14:paraId="0BDC9C80" w14:textId="77777777" w:rsidR="00933F24" w:rsidRPr="00BC6FBB" w:rsidRDefault="00933F24" w:rsidP="00EB65FB">
      <w:pPr>
        <w:autoSpaceDE w:val="0"/>
        <w:autoSpaceDN w:val="0"/>
        <w:adjustRightInd w:val="0"/>
        <w:spacing w:after="0" w:line="276" w:lineRule="auto"/>
        <w:rPr>
          <w:rFonts w:cs="Arial"/>
          <w:b/>
          <w:sz w:val="20"/>
          <w:szCs w:val="20"/>
        </w:rPr>
      </w:pPr>
    </w:p>
    <w:p w14:paraId="78A66D57" w14:textId="708A3712" w:rsidR="00AD535F" w:rsidRPr="00AD535F" w:rsidRDefault="00ED59B3" w:rsidP="00EB65FB">
      <w:pPr>
        <w:autoSpaceDE w:val="0"/>
        <w:autoSpaceDN w:val="0"/>
        <w:adjustRightInd w:val="0"/>
        <w:spacing w:after="0" w:line="276" w:lineRule="auto"/>
        <w:rPr>
          <w:rFonts w:cs="Arial"/>
          <w:b/>
          <w:sz w:val="20"/>
          <w:szCs w:val="20"/>
        </w:rPr>
      </w:pPr>
      <w:r>
        <w:rPr>
          <w:rFonts w:cs="Arial"/>
          <w:b/>
          <w:sz w:val="20"/>
          <w:szCs w:val="20"/>
        </w:rPr>
        <w:br w:type="column"/>
      </w:r>
      <w:r w:rsidR="00AD535F" w:rsidRPr="00AD535F">
        <w:rPr>
          <w:rFonts w:cs="Arial"/>
          <w:b/>
          <w:sz w:val="20"/>
          <w:szCs w:val="20"/>
        </w:rPr>
        <w:t>Rysunek 4 Udział ubogich energetycznie gospodarstw domowych [%] zidentyfikowanych przez wskaźnik Budynek z przeciekającym dachem, zawilgoconymi ścianami, podłogami, fundamentami, butwiejącymi oknami lub podłogami w 2016 r.</w:t>
      </w:r>
    </w:p>
    <w:p w14:paraId="59FF1D37" w14:textId="34859423" w:rsidR="00AD535F" w:rsidRDefault="00264A89" w:rsidP="00EB65FB">
      <w:pPr>
        <w:autoSpaceDE w:val="0"/>
        <w:autoSpaceDN w:val="0"/>
        <w:adjustRightInd w:val="0"/>
        <w:spacing w:after="0" w:line="276" w:lineRule="auto"/>
        <w:rPr>
          <w:rFonts w:cs="Arial"/>
          <w:b/>
          <w:sz w:val="20"/>
          <w:szCs w:val="20"/>
          <w:lang w:val="en-GB"/>
        </w:rPr>
      </w:pPr>
      <w:r>
        <w:rPr>
          <w:rFonts w:cs="Arial"/>
          <w:b/>
          <w:noProof/>
          <w:sz w:val="20"/>
          <w:szCs w:val="20"/>
          <w:lang w:eastAsia="pl-PL"/>
        </w:rPr>
        <w:drawing>
          <wp:inline distT="0" distB="0" distL="0" distR="0" wp14:anchorId="7AE69587" wp14:editId="050E4DDA">
            <wp:extent cx="5353050" cy="3962400"/>
            <wp:effectExtent l="0" t="0" r="0" b="0"/>
            <wp:docPr id="16" name="Obraz 16" descr="C:\Users\Jakub SOKOLOWSKI\Dropbox\Technical support for defining measuring and monitoring energy poverty in Poland\Wskazniki\Mapy\leak.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C:\Users\Jakub SOKOLOWSKI\Dropbox\Technical support for defining measuring and monitoring energy poverty in Poland\Wskazniki\Mapy\leak.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55236" cy="3964018"/>
                    </a:xfrm>
                    <a:prstGeom prst="rect">
                      <a:avLst/>
                    </a:prstGeom>
                    <a:noFill/>
                    <a:ln>
                      <a:noFill/>
                    </a:ln>
                  </pic:spPr>
                </pic:pic>
              </a:graphicData>
            </a:graphic>
          </wp:inline>
        </w:drawing>
      </w:r>
    </w:p>
    <w:p w14:paraId="0390C435" w14:textId="77777777" w:rsidR="00AD535F" w:rsidRDefault="00AD535F" w:rsidP="00EB65FB">
      <w:pPr>
        <w:autoSpaceDE w:val="0"/>
        <w:autoSpaceDN w:val="0"/>
        <w:adjustRightInd w:val="0"/>
        <w:spacing w:after="0" w:line="276" w:lineRule="auto"/>
        <w:rPr>
          <w:rFonts w:cs="Arial"/>
          <w:b/>
          <w:sz w:val="20"/>
          <w:szCs w:val="20"/>
          <w:lang w:val="en-GB"/>
        </w:rPr>
      </w:pPr>
    </w:p>
    <w:p w14:paraId="10E415B5" w14:textId="73C51BE1" w:rsidR="00AD535F" w:rsidRPr="00AD535F" w:rsidRDefault="00AD535F" w:rsidP="004713E4">
      <w:pPr>
        <w:autoSpaceDE w:val="0"/>
        <w:autoSpaceDN w:val="0"/>
        <w:adjustRightInd w:val="0"/>
        <w:spacing w:after="0" w:line="276" w:lineRule="auto"/>
        <w:jc w:val="both"/>
        <w:rPr>
          <w:rFonts w:cs="Arial"/>
          <w:sz w:val="20"/>
          <w:szCs w:val="20"/>
        </w:rPr>
      </w:pPr>
      <w:r w:rsidRPr="00AD535F">
        <w:rPr>
          <w:rFonts w:cs="Arial"/>
          <w:sz w:val="20"/>
          <w:szCs w:val="20"/>
        </w:rPr>
        <w:t xml:space="preserve">Wskaźnik </w:t>
      </w:r>
      <w:r w:rsidRPr="00AD535F">
        <w:rPr>
          <w:rFonts w:cs="Arial"/>
          <w:b/>
          <w:sz w:val="20"/>
          <w:szCs w:val="20"/>
        </w:rPr>
        <w:t>Budynek z przeciekającym dachem, zawilgoconymi ścianami, podłogami, fundamentami, butwiejącymi oknami lub podłogami</w:t>
      </w:r>
      <w:r w:rsidRPr="00AD535F">
        <w:rPr>
          <w:rFonts w:cs="Arial"/>
          <w:sz w:val="20"/>
          <w:szCs w:val="20"/>
        </w:rPr>
        <w:t xml:space="preserve"> identyfikuje</w:t>
      </w:r>
      <w:r>
        <w:rPr>
          <w:rFonts w:cs="Arial"/>
          <w:sz w:val="20"/>
          <w:szCs w:val="20"/>
        </w:rPr>
        <w:t>,</w:t>
      </w:r>
      <w:r w:rsidRPr="00AD535F">
        <w:rPr>
          <w:rFonts w:cs="Arial"/>
          <w:sz w:val="20"/>
          <w:szCs w:val="20"/>
        </w:rPr>
        <w:t xml:space="preserve"> </w:t>
      </w:r>
      <w:r w:rsidR="00ED59B3" w:rsidRPr="00AD535F">
        <w:rPr>
          <w:rFonts w:cs="Arial"/>
          <w:sz w:val="20"/>
          <w:szCs w:val="20"/>
        </w:rPr>
        <w:t xml:space="preserve">głównie zachodnie regiony Polski </w:t>
      </w:r>
      <w:r w:rsidRPr="00AD535F">
        <w:rPr>
          <w:rFonts w:cs="Arial"/>
          <w:sz w:val="20"/>
          <w:szCs w:val="20"/>
        </w:rPr>
        <w:t xml:space="preserve">jako zagrożone ubóstwem energetycznym. Wynika to z </w:t>
      </w:r>
      <w:r>
        <w:rPr>
          <w:rFonts w:cs="Arial"/>
          <w:sz w:val="20"/>
          <w:szCs w:val="20"/>
        </w:rPr>
        <w:t>przeważającego</w:t>
      </w:r>
      <w:r w:rsidRPr="00AD535F">
        <w:rPr>
          <w:rFonts w:cs="Arial"/>
          <w:sz w:val="20"/>
          <w:szCs w:val="20"/>
        </w:rPr>
        <w:t xml:space="preserve"> udziału star</w:t>
      </w:r>
      <w:r w:rsidR="000E7881">
        <w:rPr>
          <w:rFonts w:cs="Arial"/>
          <w:sz w:val="20"/>
          <w:szCs w:val="20"/>
        </w:rPr>
        <w:t>sz</w:t>
      </w:r>
      <w:r w:rsidRPr="00AD535F">
        <w:rPr>
          <w:rFonts w:cs="Arial"/>
          <w:sz w:val="20"/>
          <w:szCs w:val="20"/>
        </w:rPr>
        <w:t xml:space="preserve">ych </w:t>
      </w:r>
      <w:r>
        <w:rPr>
          <w:rFonts w:cs="Arial"/>
          <w:sz w:val="20"/>
          <w:szCs w:val="20"/>
        </w:rPr>
        <w:t>budynków</w:t>
      </w:r>
      <w:r w:rsidRPr="00AD535F">
        <w:rPr>
          <w:rFonts w:cs="Arial"/>
          <w:sz w:val="20"/>
          <w:szCs w:val="20"/>
        </w:rPr>
        <w:t xml:space="preserve"> o niskiej efektywności energetycznej</w:t>
      </w:r>
      <w:r>
        <w:rPr>
          <w:rFonts w:cs="Arial"/>
          <w:sz w:val="20"/>
          <w:szCs w:val="20"/>
        </w:rPr>
        <w:t xml:space="preserve"> w zachodnich województwach. Identyfikacja najwyższej stopy </w:t>
      </w:r>
      <w:r w:rsidRPr="00AD535F">
        <w:rPr>
          <w:rFonts w:cs="Arial"/>
          <w:sz w:val="20"/>
          <w:szCs w:val="20"/>
        </w:rPr>
        <w:t xml:space="preserve">ubóstwa energetycznego w dolnośląskim (14%) </w:t>
      </w:r>
      <w:r w:rsidR="000E7881">
        <w:rPr>
          <w:rFonts w:cs="Arial"/>
          <w:sz w:val="20"/>
          <w:szCs w:val="20"/>
        </w:rPr>
        <w:t>związana jest</w:t>
      </w:r>
      <w:r w:rsidRPr="00AD535F">
        <w:rPr>
          <w:rFonts w:cs="Arial"/>
          <w:sz w:val="20"/>
          <w:szCs w:val="20"/>
        </w:rPr>
        <w:t xml:space="preserve"> przede wszystkim z charakterysty</w:t>
      </w:r>
      <w:r>
        <w:rPr>
          <w:rFonts w:cs="Arial"/>
          <w:sz w:val="20"/>
          <w:szCs w:val="20"/>
        </w:rPr>
        <w:t>k</w:t>
      </w:r>
      <w:r w:rsidR="000E7881">
        <w:rPr>
          <w:rFonts w:cs="Arial"/>
          <w:sz w:val="20"/>
          <w:szCs w:val="20"/>
        </w:rPr>
        <w:t>ą</w:t>
      </w:r>
      <w:r w:rsidRPr="00AD535F">
        <w:rPr>
          <w:rFonts w:cs="Arial"/>
          <w:sz w:val="20"/>
          <w:szCs w:val="20"/>
        </w:rPr>
        <w:t xml:space="preserve"> budynków</w:t>
      </w:r>
      <w:r>
        <w:rPr>
          <w:rFonts w:cs="Arial"/>
          <w:sz w:val="20"/>
          <w:szCs w:val="20"/>
        </w:rPr>
        <w:t xml:space="preserve"> w województwie</w:t>
      </w:r>
      <w:r w:rsidRPr="00AD535F">
        <w:rPr>
          <w:rFonts w:cs="Arial"/>
          <w:sz w:val="20"/>
          <w:szCs w:val="20"/>
        </w:rPr>
        <w:t>. Regiony</w:t>
      </w:r>
      <w:r>
        <w:rPr>
          <w:rFonts w:cs="Arial"/>
          <w:sz w:val="20"/>
          <w:szCs w:val="20"/>
        </w:rPr>
        <w:t xml:space="preserve">, w których gospodarstwa domowe mają trudniejszą sytuację materialną </w:t>
      </w:r>
      <w:r w:rsidRPr="00AD535F">
        <w:rPr>
          <w:rFonts w:cs="Arial"/>
          <w:sz w:val="20"/>
          <w:szCs w:val="20"/>
        </w:rPr>
        <w:t>(pod</w:t>
      </w:r>
      <w:r>
        <w:rPr>
          <w:rFonts w:cs="Arial"/>
          <w:sz w:val="20"/>
          <w:szCs w:val="20"/>
        </w:rPr>
        <w:t>karpackie, świętokrzyskie), ale występuje tam większy udział nowych budynków,</w:t>
      </w:r>
      <w:r w:rsidRPr="00AD535F">
        <w:rPr>
          <w:rFonts w:cs="Arial"/>
          <w:sz w:val="20"/>
          <w:szCs w:val="20"/>
        </w:rPr>
        <w:t xml:space="preserve"> nie są identyfikowane przez </w:t>
      </w:r>
      <w:r>
        <w:rPr>
          <w:rFonts w:cs="Arial"/>
          <w:sz w:val="20"/>
          <w:szCs w:val="20"/>
        </w:rPr>
        <w:t>wskaźnik.</w:t>
      </w:r>
    </w:p>
    <w:p w14:paraId="4A703D79" w14:textId="77777777" w:rsidR="000C6012" w:rsidRPr="00BC6FBB" w:rsidRDefault="000C6012" w:rsidP="00EB65FB">
      <w:pPr>
        <w:autoSpaceDE w:val="0"/>
        <w:autoSpaceDN w:val="0"/>
        <w:adjustRightInd w:val="0"/>
        <w:spacing w:after="0" w:line="276" w:lineRule="auto"/>
        <w:rPr>
          <w:rFonts w:cs="Arial"/>
          <w:b/>
          <w:sz w:val="20"/>
          <w:szCs w:val="20"/>
        </w:rPr>
      </w:pPr>
    </w:p>
    <w:p w14:paraId="4E0312AE" w14:textId="6BCB7FAC" w:rsidR="00264A89" w:rsidRPr="00AD535F" w:rsidRDefault="000E7881" w:rsidP="00EB65FB">
      <w:pPr>
        <w:autoSpaceDE w:val="0"/>
        <w:autoSpaceDN w:val="0"/>
        <w:adjustRightInd w:val="0"/>
        <w:spacing w:after="0" w:line="276" w:lineRule="auto"/>
        <w:rPr>
          <w:rFonts w:cs="Arial"/>
          <w:b/>
          <w:sz w:val="20"/>
          <w:szCs w:val="20"/>
        </w:rPr>
      </w:pPr>
      <w:r>
        <w:rPr>
          <w:rFonts w:cs="Arial"/>
          <w:b/>
          <w:sz w:val="20"/>
          <w:szCs w:val="20"/>
        </w:rPr>
        <w:br w:type="column"/>
      </w:r>
      <w:r w:rsidR="00AD535F" w:rsidRPr="00AD535F">
        <w:rPr>
          <w:rFonts w:cs="Arial"/>
          <w:b/>
          <w:sz w:val="20"/>
          <w:szCs w:val="20"/>
        </w:rPr>
        <w:t>Rysunek 5 Udział ubogich energetycznie gospodarstw domowych [%] zidentyfikowanych przez Niewystarczający komfort cieplny w 2016 r.</w:t>
      </w:r>
    </w:p>
    <w:p w14:paraId="231CDC6B" w14:textId="47130D3D" w:rsidR="00264A89" w:rsidRDefault="00264A89" w:rsidP="008A1D5E">
      <w:pPr>
        <w:autoSpaceDE w:val="0"/>
        <w:autoSpaceDN w:val="0"/>
        <w:adjustRightInd w:val="0"/>
        <w:spacing w:after="0" w:line="276" w:lineRule="auto"/>
        <w:rPr>
          <w:rFonts w:cs="Arial"/>
          <w:b/>
          <w:sz w:val="20"/>
          <w:szCs w:val="20"/>
          <w:lang w:val="en-GB"/>
        </w:rPr>
      </w:pPr>
      <w:r>
        <w:rPr>
          <w:rFonts w:cs="Arial"/>
          <w:b/>
          <w:noProof/>
          <w:sz w:val="20"/>
          <w:szCs w:val="20"/>
          <w:lang w:eastAsia="pl-PL"/>
        </w:rPr>
        <w:drawing>
          <wp:inline distT="0" distB="0" distL="0" distR="0" wp14:anchorId="6A0FA341" wp14:editId="1D300551">
            <wp:extent cx="5353050" cy="4362450"/>
            <wp:effectExtent l="0" t="0" r="0" b="0"/>
            <wp:docPr id="20" name="Obraz 20" descr="C:\Users\Jakub SOKOLOWSKI\Dropbox\Technical support for defining measuring and monitoring energy poverty in Poland\Wskazniki\Mapy\thermal.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C:\Users\Jakub SOKOLOWSKI\Dropbox\Technical support for defining measuring and monitoring energy poverty in Poland\Wskazniki\Mapy\thermal.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55236" cy="4364231"/>
                    </a:xfrm>
                    <a:prstGeom prst="rect">
                      <a:avLst/>
                    </a:prstGeom>
                    <a:noFill/>
                    <a:ln>
                      <a:noFill/>
                    </a:ln>
                  </pic:spPr>
                </pic:pic>
              </a:graphicData>
            </a:graphic>
          </wp:inline>
        </w:drawing>
      </w:r>
    </w:p>
    <w:p w14:paraId="68DACAB7" w14:textId="55680D84" w:rsidR="00AD535F" w:rsidRPr="00AD535F" w:rsidRDefault="00AD535F" w:rsidP="00AD535F">
      <w:pPr>
        <w:autoSpaceDE w:val="0"/>
        <w:autoSpaceDN w:val="0"/>
        <w:adjustRightInd w:val="0"/>
        <w:spacing w:after="0" w:line="276" w:lineRule="auto"/>
        <w:jc w:val="both"/>
        <w:rPr>
          <w:rFonts w:cs="Arial"/>
          <w:sz w:val="20"/>
          <w:szCs w:val="20"/>
        </w:rPr>
      </w:pPr>
      <w:r w:rsidRPr="00AD535F">
        <w:rPr>
          <w:rFonts w:cs="Arial"/>
          <w:sz w:val="20"/>
          <w:szCs w:val="20"/>
        </w:rPr>
        <w:t xml:space="preserve">Subiektywna miara ubóstwa energetycznego, </w:t>
      </w:r>
      <w:r>
        <w:rPr>
          <w:rFonts w:cs="Arial"/>
          <w:sz w:val="20"/>
          <w:szCs w:val="20"/>
        </w:rPr>
        <w:t>Niewystarczający</w:t>
      </w:r>
      <w:r w:rsidRPr="00AD535F">
        <w:rPr>
          <w:rFonts w:cs="Arial"/>
          <w:sz w:val="20"/>
          <w:szCs w:val="20"/>
        </w:rPr>
        <w:t xml:space="preserve"> komfort cieplny, identyfikuje dwa zachodnie województwa, lubuskie (16%) i dolnośląskie (14%), jako </w:t>
      </w:r>
      <w:r>
        <w:rPr>
          <w:rFonts w:cs="Arial"/>
          <w:sz w:val="20"/>
          <w:szCs w:val="20"/>
        </w:rPr>
        <w:t xml:space="preserve">regiony z </w:t>
      </w:r>
      <w:r w:rsidRPr="00AD535F">
        <w:rPr>
          <w:rFonts w:cs="Arial"/>
          <w:sz w:val="20"/>
          <w:szCs w:val="20"/>
        </w:rPr>
        <w:t>największ</w:t>
      </w:r>
      <w:r>
        <w:rPr>
          <w:rFonts w:cs="Arial"/>
          <w:sz w:val="20"/>
          <w:szCs w:val="20"/>
        </w:rPr>
        <w:t>ym</w:t>
      </w:r>
      <w:r w:rsidRPr="00AD535F">
        <w:rPr>
          <w:rFonts w:cs="Arial"/>
          <w:sz w:val="20"/>
          <w:szCs w:val="20"/>
        </w:rPr>
        <w:t xml:space="preserve"> ryzyk</w:t>
      </w:r>
      <w:r>
        <w:rPr>
          <w:rFonts w:cs="Arial"/>
          <w:sz w:val="20"/>
          <w:szCs w:val="20"/>
        </w:rPr>
        <w:t>iem</w:t>
      </w:r>
      <w:r w:rsidRPr="00AD535F">
        <w:rPr>
          <w:rFonts w:cs="Arial"/>
          <w:sz w:val="20"/>
          <w:szCs w:val="20"/>
        </w:rPr>
        <w:t xml:space="preserve"> ubóstwa energetycznego. </w:t>
      </w:r>
      <w:r>
        <w:rPr>
          <w:rFonts w:cs="Arial"/>
          <w:sz w:val="20"/>
          <w:szCs w:val="20"/>
        </w:rPr>
        <w:t>J</w:t>
      </w:r>
      <w:r w:rsidRPr="00AD535F">
        <w:rPr>
          <w:rFonts w:cs="Arial"/>
          <w:sz w:val="20"/>
          <w:szCs w:val="20"/>
        </w:rPr>
        <w:t xml:space="preserve">est </w:t>
      </w:r>
      <w:r>
        <w:rPr>
          <w:rFonts w:cs="Arial"/>
          <w:sz w:val="20"/>
          <w:szCs w:val="20"/>
        </w:rPr>
        <w:t>to związane z wysokim udziałem starszych</w:t>
      </w:r>
      <w:r w:rsidRPr="00AD535F">
        <w:rPr>
          <w:rFonts w:cs="Arial"/>
          <w:sz w:val="20"/>
          <w:szCs w:val="20"/>
        </w:rPr>
        <w:t xml:space="preserve"> </w:t>
      </w:r>
      <w:r>
        <w:rPr>
          <w:rFonts w:cs="Arial"/>
          <w:sz w:val="20"/>
          <w:szCs w:val="20"/>
        </w:rPr>
        <w:t>budynków</w:t>
      </w:r>
      <w:r w:rsidRPr="00AD535F">
        <w:rPr>
          <w:rFonts w:cs="Arial"/>
          <w:sz w:val="20"/>
          <w:szCs w:val="20"/>
        </w:rPr>
        <w:t xml:space="preserve"> o niższym standardzie efektywności energetycznej, który wpływa na </w:t>
      </w:r>
      <w:r w:rsidR="00D50D1E">
        <w:rPr>
          <w:rFonts w:cs="Arial"/>
          <w:sz w:val="20"/>
          <w:szCs w:val="20"/>
        </w:rPr>
        <w:t xml:space="preserve">inne </w:t>
      </w:r>
      <w:r w:rsidRPr="00AD535F">
        <w:rPr>
          <w:rFonts w:cs="Arial"/>
          <w:sz w:val="20"/>
          <w:szCs w:val="20"/>
        </w:rPr>
        <w:t xml:space="preserve">postrzeganie </w:t>
      </w:r>
      <w:r w:rsidR="00D50D1E">
        <w:rPr>
          <w:rFonts w:cs="Arial"/>
          <w:sz w:val="20"/>
          <w:szCs w:val="20"/>
        </w:rPr>
        <w:t>komfortu cieplnego</w:t>
      </w:r>
      <w:r w:rsidRPr="00AD535F">
        <w:rPr>
          <w:rFonts w:cs="Arial"/>
          <w:sz w:val="20"/>
          <w:szCs w:val="20"/>
        </w:rPr>
        <w:t xml:space="preserve">. Identyfikacja regionów północno-wschodnich, </w:t>
      </w:r>
      <w:r w:rsidR="00D50D1E">
        <w:rPr>
          <w:rFonts w:cs="Arial"/>
          <w:sz w:val="20"/>
          <w:szCs w:val="20"/>
        </w:rPr>
        <w:t xml:space="preserve">województw </w:t>
      </w:r>
      <w:r w:rsidRPr="00AD535F">
        <w:rPr>
          <w:rFonts w:cs="Arial"/>
          <w:sz w:val="20"/>
          <w:szCs w:val="20"/>
        </w:rPr>
        <w:t>warmińsko-mazurski</w:t>
      </w:r>
      <w:r w:rsidR="00D50D1E">
        <w:rPr>
          <w:rFonts w:cs="Arial"/>
          <w:sz w:val="20"/>
          <w:szCs w:val="20"/>
        </w:rPr>
        <w:t>ego</w:t>
      </w:r>
      <w:r w:rsidRPr="00AD535F">
        <w:rPr>
          <w:rFonts w:cs="Arial"/>
          <w:sz w:val="20"/>
          <w:szCs w:val="20"/>
        </w:rPr>
        <w:t xml:space="preserve"> i podlaski</w:t>
      </w:r>
      <w:r w:rsidR="00D50D1E">
        <w:rPr>
          <w:rFonts w:cs="Arial"/>
          <w:sz w:val="20"/>
          <w:szCs w:val="20"/>
        </w:rPr>
        <w:t>ego może być związan</w:t>
      </w:r>
      <w:r w:rsidR="000E7881">
        <w:rPr>
          <w:rFonts w:cs="Arial"/>
          <w:sz w:val="20"/>
          <w:szCs w:val="20"/>
        </w:rPr>
        <w:t>a</w:t>
      </w:r>
      <w:r w:rsidR="00D50D1E">
        <w:rPr>
          <w:rFonts w:cs="Arial"/>
          <w:sz w:val="20"/>
          <w:szCs w:val="20"/>
        </w:rPr>
        <w:t xml:space="preserve"> z występującymi tam warunkami klimatycznymi.</w:t>
      </w:r>
    </w:p>
    <w:p w14:paraId="2C9FCB8A" w14:textId="77777777" w:rsidR="00AD535F" w:rsidRPr="00AD535F" w:rsidRDefault="00AD535F" w:rsidP="00AD535F">
      <w:pPr>
        <w:autoSpaceDE w:val="0"/>
        <w:autoSpaceDN w:val="0"/>
        <w:adjustRightInd w:val="0"/>
        <w:spacing w:after="0" w:line="276" w:lineRule="auto"/>
        <w:jc w:val="both"/>
        <w:rPr>
          <w:rFonts w:cs="Arial"/>
          <w:sz w:val="20"/>
          <w:szCs w:val="20"/>
        </w:rPr>
      </w:pPr>
    </w:p>
    <w:p w14:paraId="48F15B8B" w14:textId="7362F560" w:rsidR="00AD535F" w:rsidRPr="00AD535F" w:rsidRDefault="00AD535F" w:rsidP="00AD535F">
      <w:pPr>
        <w:autoSpaceDE w:val="0"/>
        <w:autoSpaceDN w:val="0"/>
        <w:adjustRightInd w:val="0"/>
        <w:spacing w:after="0" w:line="276" w:lineRule="auto"/>
        <w:jc w:val="both"/>
        <w:rPr>
          <w:rFonts w:cs="Arial"/>
          <w:sz w:val="20"/>
          <w:szCs w:val="20"/>
        </w:rPr>
      </w:pPr>
      <w:r w:rsidRPr="00AD535F">
        <w:rPr>
          <w:rFonts w:cs="Arial"/>
          <w:sz w:val="20"/>
          <w:szCs w:val="20"/>
        </w:rPr>
        <w:t xml:space="preserve">Podsumowując, regiony w Polsce </w:t>
      </w:r>
      <w:r w:rsidR="00D50D1E">
        <w:rPr>
          <w:rFonts w:cs="Arial"/>
          <w:sz w:val="20"/>
          <w:szCs w:val="20"/>
        </w:rPr>
        <w:t xml:space="preserve">o najtrudniejszej sytuacji materialnej </w:t>
      </w:r>
      <w:r w:rsidRPr="00AD535F">
        <w:rPr>
          <w:rFonts w:cs="Arial"/>
          <w:sz w:val="20"/>
          <w:szCs w:val="20"/>
        </w:rPr>
        <w:t xml:space="preserve">charakteryzują się wysokim </w:t>
      </w:r>
      <w:r w:rsidR="00D50D1E">
        <w:rPr>
          <w:rFonts w:cs="Arial"/>
          <w:sz w:val="20"/>
          <w:szCs w:val="20"/>
        </w:rPr>
        <w:t>udziałem ubogich energetycznie gospodarstw domowych, zarówno według wskaźników opierających się na</w:t>
      </w:r>
      <w:r w:rsidRPr="00AD535F">
        <w:rPr>
          <w:rFonts w:cs="Arial"/>
          <w:sz w:val="20"/>
          <w:szCs w:val="20"/>
        </w:rPr>
        <w:t xml:space="preserve"> wydatk</w:t>
      </w:r>
      <w:r w:rsidR="00D50D1E">
        <w:rPr>
          <w:rFonts w:cs="Arial"/>
          <w:sz w:val="20"/>
          <w:szCs w:val="20"/>
        </w:rPr>
        <w:t>ach</w:t>
      </w:r>
      <w:r w:rsidRPr="00AD535F">
        <w:rPr>
          <w:rFonts w:cs="Arial"/>
          <w:sz w:val="20"/>
          <w:szCs w:val="20"/>
        </w:rPr>
        <w:t xml:space="preserve">, jak </w:t>
      </w:r>
      <w:r w:rsidR="00D50D1E">
        <w:rPr>
          <w:rFonts w:cs="Arial"/>
          <w:sz w:val="20"/>
          <w:szCs w:val="20"/>
        </w:rPr>
        <w:t>własnej ocenie sytuacji</w:t>
      </w:r>
      <w:r w:rsidR="000E7881">
        <w:rPr>
          <w:rFonts w:cs="Arial"/>
          <w:sz w:val="20"/>
          <w:szCs w:val="20"/>
        </w:rPr>
        <w:t xml:space="preserve"> gospodarstwa domowego</w:t>
      </w:r>
      <w:r w:rsidRPr="00AD535F">
        <w:rPr>
          <w:rFonts w:cs="Arial"/>
          <w:sz w:val="20"/>
          <w:szCs w:val="20"/>
        </w:rPr>
        <w:t xml:space="preserve"> (warmińsko-m</w:t>
      </w:r>
      <w:r w:rsidR="000E7881">
        <w:rPr>
          <w:rFonts w:cs="Arial"/>
          <w:sz w:val="20"/>
          <w:szCs w:val="20"/>
        </w:rPr>
        <w:t xml:space="preserve">azurskie i kujawsko-pomorskie). </w:t>
      </w:r>
      <w:r w:rsidR="00D50D1E">
        <w:rPr>
          <w:rFonts w:cs="Arial"/>
          <w:sz w:val="20"/>
          <w:szCs w:val="20"/>
        </w:rPr>
        <w:t xml:space="preserve">Możemy też wyróżnić </w:t>
      </w:r>
      <w:r w:rsidRPr="00AD535F">
        <w:rPr>
          <w:rFonts w:cs="Arial"/>
          <w:sz w:val="20"/>
          <w:szCs w:val="20"/>
        </w:rPr>
        <w:t xml:space="preserve">regiony charakteryzujące się wysokim </w:t>
      </w:r>
      <w:r w:rsidR="00D50D1E">
        <w:rPr>
          <w:rFonts w:cs="Arial"/>
          <w:sz w:val="20"/>
          <w:szCs w:val="20"/>
        </w:rPr>
        <w:t>udziałem gospodarstw domowych identyfikowanych przez wskaźniki opierające się na dochodach</w:t>
      </w:r>
      <w:r w:rsidRPr="00AD535F">
        <w:rPr>
          <w:rFonts w:cs="Arial"/>
          <w:sz w:val="20"/>
          <w:szCs w:val="20"/>
        </w:rPr>
        <w:t>, ale niski</w:t>
      </w:r>
      <w:r w:rsidR="00D50D1E">
        <w:rPr>
          <w:rFonts w:cs="Arial"/>
          <w:sz w:val="20"/>
          <w:szCs w:val="20"/>
        </w:rPr>
        <w:t xml:space="preserve">m udziale gospodarstw zidentyfikowanych </w:t>
      </w:r>
      <w:r w:rsidRPr="00AD535F">
        <w:rPr>
          <w:rFonts w:cs="Arial"/>
          <w:sz w:val="20"/>
          <w:szCs w:val="20"/>
        </w:rPr>
        <w:t xml:space="preserve">według </w:t>
      </w:r>
      <w:r w:rsidR="00D50D1E">
        <w:rPr>
          <w:rFonts w:cs="Arial"/>
          <w:sz w:val="20"/>
          <w:szCs w:val="20"/>
        </w:rPr>
        <w:t>wskaźników opierających się na samoocenie</w:t>
      </w:r>
      <w:r w:rsidRPr="00AD535F">
        <w:rPr>
          <w:rFonts w:cs="Arial"/>
          <w:sz w:val="20"/>
          <w:szCs w:val="20"/>
        </w:rPr>
        <w:t xml:space="preserve"> (podkarpackie, lubelskie). </w:t>
      </w:r>
      <w:r w:rsidR="000E7881">
        <w:rPr>
          <w:rFonts w:cs="Arial"/>
          <w:sz w:val="20"/>
          <w:szCs w:val="20"/>
        </w:rPr>
        <w:t xml:space="preserve"> </w:t>
      </w:r>
      <w:r w:rsidR="00D50D1E">
        <w:rPr>
          <w:rFonts w:cs="Arial"/>
          <w:sz w:val="20"/>
          <w:szCs w:val="20"/>
        </w:rPr>
        <w:t xml:space="preserve">Dodatkowo, zauważalna jest też </w:t>
      </w:r>
      <w:r w:rsidRPr="00AD535F">
        <w:rPr>
          <w:rFonts w:cs="Arial"/>
          <w:sz w:val="20"/>
          <w:szCs w:val="20"/>
        </w:rPr>
        <w:t>trzeci</w:t>
      </w:r>
      <w:r w:rsidR="00D50D1E">
        <w:rPr>
          <w:rFonts w:cs="Arial"/>
          <w:sz w:val="20"/>
          <w:szCs w:val="20"/>
        </w:rPr>
        <w:t>a</w:t>
      </w:r>
      <w:r w:rsidRPr="00AD535F">
        <w:rPr>
          <w:rFonts w:cs="Arial"/>
          <w:sz w:val="20"/>
          <w:szCs w:val="20"/>
        </w:rPr>
        <w:t xml:space="preserve"> grup</w:t>
      </w:r>
      <w:r w:rsidR="00D50D1E">
        <w:rPr>
          <w:rFonts w:cs="Arial"/>
          <w:sz w:val="20"/>
          <w:szCs w:val="20"/>
        </w:rPr>
        <w:t>a</w:t>
      </w:r>
      <w:r w:rsidRPr="00AD535F">
        <w:rPr>
          <w:rFonts w:cs="Arial"/>
          <w:sz w:val="20"/>
          <w:szCs w:val="20"/>
        </w:rPr>
        <w:t xml:space="preserve"> regionów o wysokim </w:t>
      </w:r>
      <w:r w:rsidR="00D50D1E">
        <w:rPr>
          <w:rFonts w:cs="Arial"/>
          <w:sz w:val="20"/>
          <w:szCs w:val="20"/>
        </w:rPr>
        <w:t>udziale gospodarstw domowych identyfikowanych przez wskaźniki opierające się na własnej ocenie sytuacji gospodarstwa domowego</w:t>
      </w:r>
      <w:r w:rsidRPr="00AD535F">
        <w:rPr>
          <w:rFonts w:cs="Arial"/>
          <w:sz w:val="20"/>
          <w:szCs w:val="20"/>
        </w:rPr>
        <w:t xml:space="preserve"> (zachodniopomorskie, dolnośląskie) i niskim odsetku ubogich energetycznie według wskaźników opartych na wydatkach. Różnorodność polskich regionów świadczy o potrzebie stosowania zestawu</w:t>
      </w:r>
      <w:r w:rsidR="00D50D1E">
        <w:rPr>
          <w:rFonts w:cs="Arial"/>
          <w:sz w:val="20"/>
          <w:szCs w:val="20"/>
        </w:rPr>
        <w:t xml:space="preserve"> wskaźników, a nie pojedynczej miary </w:t>
      </w:r>
      <w:r w:rsidRPr="00AD535F">
        <w:rPr>
          <w:rFonts w:cs="Arial"/>
          <w:sz w:val="20"/>
          <w:szCs w:val="20"/>
        </w:rPr>
        <w:t>w celu monitorowania ubóstwa energetycznego w Polsce</w:t>
      </w:r>
      <w:r w:rsidR="00BC6FBB">
        <w:rPr>
          <w:rStyle w:val="Odwoanieprzypisudolnego"/>
          <w:rFonts w:cs="Arial"/>
          <w:sz w:val="20"/>
          <w:szCs w:val="20"/>
        </w:rPr>
        <w:footnoteReference w:id="5"/>
      </w:r>
      <w:r w:rsidRPr="00AD535F">
        <w:rPr>
          <w:rFonts w:cs="Arial"/>
          <w:sz w:val="20"/>
          <w:szCs w:val="20"/>
        </w:rPr>
        <w:t>.</w:t>
      </w:r>
    </w:p>
    <w:p w14:paraId="6E51AEDF" w14:textId="77777777" w:rsidR="00AD535F" w:rsidRPr="00BC6FBB" w:rsidRDefault="00AD535F" w:rsidP="00B85785">
      <w:pPr>
        <w:autoSpaceDE w:val="0"/>
        <w:autoSpaceDN w:val="0"/>
        <w:adjustRightInd w:val="0"/>
        <w:spacing w:after="0" w:line="276" w:lineRule="auto"/>
        <w:jc w:val="both"/>
        <w:rPr>
          <w:rFonts w:cs="Arial"/>
          <w:sz w:val="20"/>
          <w:szCs w:val="20"/>
        </w:rPr>
      </w:pPr>
    </w:p>
    <w:p w14:paraId="1F9C80C6" w14:textId="52B0D436" w:rsidR="00B02BC2" w:rsidRPr="00756D68" w:rsidRDefault="00756D68" w:rsidP="004E20B4">
      <w:pPr>
        <w:pStyle w:val="Nagwek2"/>
        <w:numPr>
          <w:ilvl w:val="1"/>
          <w:numId w:val="43"/>
        </w:numPr>
      </w:pPr>
      <w:bookmarkStart w:id="28" w:name="_Toc528189741"/>
      <w:r w:rsidRPr="00756D68">
        <w:t>Wyniki regresji logistycznej</w:t>
      </w:r>
      <w:bookmarkEnd w:id="28"/>
    </w:p>
    <w:p w14:paraId="7E6516A2" w14:textId="5FE89DD2" w:rsidR="004D0E3D" w:rsidRPr="004D0E3D" w:rsidRDefault="004D0E3D" w:rsidP="002747AE">
      <w:pPr>
        <w:pStyle w:val="Normal1"/>
      </w:pPr>
      <w:r w:rsidRPr="004D0E3D">
        <w:t>Aby oszacować wpływ każdego czynnika opisanego w poprzednich podrozdziałach na wyjaśnienie zmienności ubóstwa energetycznego, oszacowaliśmy pięć reg</w:t>
      </w:r>
      <w:r>
        <w:t xml:space="preserve">resji logistycznych. Poszczególne </w:t>
      </w:r>
      <w:r w:rsidRPr="004D0E3D">
        <w:t xml:space="preserve">wskaźniki (np. </w:t>
      </w:r>
      <w:r>
        <w:t>Wysokie Koszty, Niskie Dochody</w:t>
      </w:r>
      <w:r w:rsidRPr="004D0E3D">
        <w:t xml:space="preserve">, </w:t>
      </w:r>
      <w:r w:rsidRPr="004D0E3D">
        <w:rPr>
          <w:szCs w:val="20"/>
        </w:rPr>
        <w:t>22% Udział wymaganych wydatków na energię względem dochodu</w:t>
      </w:r>
      <w:r>
        <w:t xml:space="preserve">, </w:t>
      </w:r>
      <w:r w:rsidRPr="004D0E3D">
        <w:t>it</w:t>
      </w:r>
      <w:r>
        <w:t>d</w:t>
      </w:r>
      <w:r w:rsidRPr="004D0E3D">
        <w:t xml:space="preserve">.) </w:t>
      </w:r>
      <w:r>
        <w:t>s</w:t>
      </w:r>
      <w:r w:rsidRPr="004D0E3D">
        <w:t xml:space="preserve">ą </w:t>
      </w:r>
      <w:r>
        <w:t>w modelach zmiennymi zależnymi</w:t>
      </w:r>
      <w:r w:rsidRPr="004D0E3D">
        <w:t xml:space="preserve">, </w:t>
      </w:r>
      <w:r>
        <w:t>a</w:t>
      </w:r>
      <w:r w:rsidRPr="004D0E3D">
        <w:t xml:space="preserve"> charakterystyk</w:t>
      </w:r>
      <w:r w:rsidR="00961B46">
        <w:t>i</w:t>
      </w:r>
      <w:r w:rsidRPr="004D0E3D">
        <w:t xml:space="preserve"> budynku (okres budowy, rodzaj ogrzewania, </w:t>
      </w:r>
      <w:r>
        <w:t>typ</w:t>
      </w:r>
      <w:r w:rsidRPr="004D0E3D">
        <w:t xml:space="preserve"> budynku i powierzchnia domu),</w:t>
      </w:r>
      <w:r w:rsidR="00257EAE">
        <w:t xml:space="preserve"> </w:t>
      </w:r>
      <w:r w:rsidR="00961B46">
        <w:t>charakterystyki</w:t>
      </w:r>
      <w:r w:rsidR="00961B46" w:rsidRPr="004D0E3D">
        <w:t xml:space="preserve"> </w:t>
      </w:r>
      <w:r w:rsidRPr="004D0E3D">
        <w:t>gospodarstwa domowego (liczba osób,</w:t>
      </w:r>
      <w:r>
        <w:t xml:space="preserve"> główne źródło dochodu, dochód ekwiwalizowany</w:t>
      </w:r>
      <w:r w:rsidRPr="004D0E3D">
        <w:t xml:space="preserve">) i lokalizacja (województwo, </w:t>
      </w:r>
      <w:r>
        <w:t>klasa miejscowości</w:t>
      </w:r>
      <w:r w:rsidRPr="004D0E3D">
        <w:t>) są zmienn</w:t>
      </w:r>
      <w:r>
        <w:t>ymi</w:t>
      </w:r>
      <w:r w:rsidRPr="004D0E3D">
        <w:t xml:space="preserve"> objaśniając</w:t>
      </w:r>
      <w:r>
        <w:t>ymi</w:t>
      </w:r>
      <w:r w:rsidRPr="004D0E3D">
        <w:t>.</w:t>
      </w:r>
    </w:p>
    <w:p w14:paraId="7E1729A3" w14:textId="16C5003A" w:rsidR="00B62C4B" w:rsidRDefault="004D0E3D" w:rsidP="004D0E3D">
      <w:pPr>
        <w:pStyle w:val="Bullety"/>
      </w:pPr>
      <w:r w:rsidRPr="004D0E3D">
        <w:t>Im wyższy dochód ekwiwal</w:t>
      </w:r>
      <w:r>
        <w:t>i</w:t>
      </w:r>
      <w:r w:rsidR="00B62C4B">
        <w:t>zowany</w:t>
      </w:r>
      <w:r w:rsidRPr="004D0E3D">
        <w:t xml:space="preserve">, tym mniejsze ryzyko ubóstwa energetycznego. </w:t>
      </w:r>
      <w:r w:rsidR="00961B46">
        <w:t>Zależność pomiędzy d</w:t>
      </w:r>
      <w:r w:rsidR="00B62C4B">
        <w:t>och</w:t>
      </w:r>
      <w:r w:rsidR="00961B46">
        <w:t>odem</w:t>
      </w:r>
      <w:r w:rsidR="00B62C4B">
        <w:t xml:space="preserve"> ekwiwalizowany</w:t>
      </w:r>
      <w:r w:rsidR="00961B46">
        <w:t>m a</w:t>
      </w:r>
      <w:r w:rsidR="00B62C4B">
        <w:t xml:space="preserve"> ubóstw</w:t>
      </w:r>
      <w:r w:rsidR="00961B46">
        <w:t>em</w:t>
      </w:r>
      <w:r w:rsidR="00B62C4B">
        <w:t xml:space="preserve"> energetyczn</w:t>
      </w:r>
      <w:r w:rsidR="00961B46">
        <w:t>ym jest silniejsza</w:t>
      </w:r>
      <w:r w:rsidR="00B62C4B">
        <w:t xml:space="preserve"> w przypadku wskaźników opartych na wydatkach niż w przypadku miar opartych o samoocenę. Potwierdza to konieczność wykorzystania zestawu wskaźników w celu uchwycenia kontekstu ubóstwa energetycznego w Polsce.</w:t>
      </w:r>
    </w:p>
    <w:p w14:paraId="46520687" w14:textId="6A2143CE" w:rsidR="00B62C4B" w:rsidRDefault="004D0E3D" w:rsidP="004D0E3D">
      <w:pPr>
        <w:pStyle w:val="Bullety"/>
      </w:pPr>
      <w:r w:rsidRPr="004D0E3D">
        <w:t xml:space="preserve">Prawdopodobieństwo ubóstwa energetycznego </w:t>
      </w:r>
      <w:r w:rsidR="00B62C4B">
        <w:t>na obszarach wiejskich jest niższe</w:t>
      </w:r>
      <w:r w:rsidR="00961B46">
        <w:t xml:space="preserve"> niż w dużych miastach</w:t>
      </w:r>
      <w:r w:rsidR="00B62C4B">
        <w:t xml:space="preserve"> w przypadku </w:t>
      </w:r>
      <w:r w:rsidR="00B62C4B">
        <w:rPr>
          <w:rFonts w:cs="Arial"/>
        </w:rPr>
        <w:t>p</w:t>
      </w:r>
      <w:r w:rsidR="00B62C4B" w:rsidRPr="00B62C4B">
        <w:rPr>
          <w:rFonts w:cs="Arial"/>
        </w:rPr>
        <w:t>odwójn</w:t>
      </w:r>
      <w:r w:rsidR="00B62C4B">
        <w:rPr>
          <w:rFonts w:cs="Arial"/>
        </w:rPr>
        <w:t xml:space="preserve">ej mediany </w:t>
      </w:r>
      <w:r w:rsidR="00B62C4B" w:rsidRPr="00B62C4B">
        <w:rPr>
          <w:rFonts w:cs="Arial"/>
        </w:rPr>
        <w:t>wydatków na energię</w:t>
      </w:r>
      <w:r w:rsidR="00B62C4B">
        <w:rPr>
          <w:rFonts w:cs="Arial"/>
        </w:rPr>
        <w:t xml:space="preserve"> i </w:t>
      </w:r>
      <w:r w:rsidR="00B62C4B" w:rsidRPr="00B62C4B">
        <w:rPr>
          <w:rFonts w:cs="Arial"/>
        </w:rPr>
        <w:t>budynków z przeciekającymi dachami</w:t>
      </w:r>
      <w:r w:rsidR="00B62C4B">
        <w:rPr>
          <w:rFonts w:cs="Arial"/>
          <w:b/>
        </w:rPr>
        <w:t xml:space="preserve"> </w:t>
      </w:r>
      <w:r w:rsidR="00CA3DE5">
        <w:rPr>
          <w:rFonts w:cs="Arial"/>
        </w:rPr>
        <w:t xml:space="preserve">(etc.) i </w:t>
      </w:r>
      <w:r w:rsidR="00B62C4B">
        <w:rPr>
          <w:rFonts w:cs="Arial"/>
        </w:rPr>
        <w:t xml:space="preserve">wyższe w przypadku </w:t>
      </w:r>
      <w:r w:rsidR="00B62C4B" w:rsidRPr="00B62C4B">
        <w:rPr>
          <w:rFonts w:cs="Arial"/>
        </w:rPr>
        <w:t>niewystarczającego komfortu cieplnego.</w:t>
      </w:r>
      <w:r w:rsidR="00B62C4B">
        <w:rPr>
          <w:rFonts w:cs="Arial"/>
        </w:rPr>
        <w:t xml:space="preserve"> </w:t>
      </w:r>
      <w:r w:rsidR="00961B46">
        <w:t>Oprócz tego, w większości przypadków</w:t>
      </w:r>
      <w:r w:rsidR="00B62C4B">
        <w:t xml:space="preserve"> </w:t>
      </w:r>
      <w:r w:rsidR="00B62C4B" w:rsidRPr="004D0E3D">
        <w:t xml:space="preserve">nie ma statystycznie istotnej różnicy w prawdopodobieństwie ubóstwa energetycznego </w:t>
      </w:r>
      <w:r w:rsidR="00961B46">
        <w:t>w zależności od wielkości miejscowości zamieszkania.</w:t>
      </w:r>
    </w:p>
    <w:p w14:paraId="7767360C" w14:textId="090642DD" w:rsidR="004D0E3D" w:rsidRDefault="004D0E3D" w:rsidP="004D0E3D">
      <w:pPr>
        <w:pStyle w:val="Bullety"/>
      </w:pPr>
      <w:r w:rsidRPr="004D0E3D">
        <w:t xml:space="preserve">Okres budowy </w:t>
      </w:r>
      <w:r w:rsidR="00B66750">
        <w:t xml:space="preserve">budynku </w:t>
      </w:r>
      <w:r w:rsidRPr="004D0E3D">
        <w:t xml:space="preserve">jest czynnikiem ryzyka </w:t>
      </w:r>
      <w:r w:rsidR="00B66750">
        <w:t xml:space="preserve">w przypadku </w:t>
      </w:r>
      <w:r w:rsidRPr="004D0E3D">
        <w:t xml:space="preserve">wszystkich wskaźników ubóstwa energetycznego. W </w:t>
      </w:r>
      <w:r w:rsidR="00B432C8">
        <w:t>kontekście</w:t>
      </w:r>
      <w:r w:rsidRPr="004D0E3D">
        <w:t xml:space="preserve"> </w:t>
      </w:r>
      <w:r w:rsidR="00B66750">
        <w:t>wskaźników</w:t>
      </w:r>
      <w:r w:rsidRPr="004D0E3D">
        <w:t xml:space="preserve"> subiektywnych</w:t>
      </w:r>
      <w:r w:rsidR="00B66750">
        <w:t>,</w:t>
      </w:r>
      <w:r w:rsidRPr="004D0E3D">
        <w:t xml:space="preserve"> im starszy budynek, tym większe ryzyko ubóstwa energetycznego. W przypadku </w:t>
      </w:r>
      <w:r w:rsidR="00B66750">
        <w:t>wskaźników</w:t>
      </w:r>
      <w:r w:rsidRPr="004D0E3D">
        <w:t xml:space="preserve"> opartych na wydatkach</w:t>
      </w:r>
      <w:r w:rsidR="00B66750">
        <w:t>,</w:t>
      </w:r>
      <w:r w:rsidRPr="004D0E3D">
        <w:t xml:space="preserve"> istnieją statystycznie istotne różnice prawdopodobieństwa ubóstwa energetycznego między</w:t>
      </w:r>
      <w:r w:rsidR="005F41C1">
        <w:t xml:space="preserve"> nowszymi i starszymi budynkami.</w:t>
      </w:r>
      <w:r w:rsidRPr="004D0E3D">
        <w:t xml:space="preserve"> </w:t>
      </w:r>
      <w:r w:rsidR="005F41C1">
        <w:t>Takie różnice nie występują</w:t>
      </w:r>
      <w:r w:rsidRPr="004D0E3D">
        <w:t xml:space="preserve"> </w:t>
      </w:r>
      <w:r w:rsidR="005F41C1">
        <w:t>po</w:t>
      </w:r>
      <w:r w:rsidRPr="004D0E3D">
        <w:t xml:space="preserve">między poszczególnymi okresami budowy budynków </w:t>
      </w:r>
      <w:r w:rsidR="005F41C1">
        <w:t>w przypadku</w:t>
      </w:r>
      <w:r w:rsidRPr="004D0E3D">
        <w:t xml:space="preserve"> starszych budynków.</w:t>
      </w:r>
    </w:p>
    <w:p w14:paraId="4D9155F5" w14:textId="4DD42AB3" w:rsidR="004D0E3D" w:rsidRPr="004D0E3D" w:rsidRDefault="004D0E3D" w:rsidP="005F41C1">
      <w:pPr>
        <w:pStyle w:val="Bullety"/>
      </w:pPr>
      <w:r w:rsidRPr="004D0E3D">
        <w:t xml:space="preserve">Gospodarstwa domowe używające gazu jako głównego źródła </w:t>
      </w:r>
      <w:r w:rsidR="005F41C1">
        <w:t>ciepła</w:t>
      </w:r>
      <w:r w:rsidRPr="004D0E3D">
        <w:t xml:space="preserve"> są narażone na większe ryzyko ubóstwa energetycznego</w:t>
      </w:r>
      <w:r w:rsidR="00961B46">
        <w:t xml:space="preserve"> niż </w:t>
      </w:r>
      <w:r w:rsidR="00E25D2A">
        <w:t>te, które stosują centralne ogrzewanie</w:t>
      </w:r>
      <w:r w:rsidRPr="004D0E3D">
        <w:t xml:space="preserve">. </w:t>
      </w:r>
      <w:r w:rsidR="00E25D2A">
        <w:t>Z kolei w</w:t>
      </w:r>
      <w:r w:rsidRPr="004D0E3D">
        <w:t xml:space="preserve"> przypadku </w:t>
      </w:r>
      <w:r w:rsidR="005F41C1">
        <w:t>wskaźników opartych o samoocenę</w:t>
      </w:r>
      <w:r w:rsidR="00E25D2A">
        <w:t xml:space="preserve">, </w:t>
      </w:r>
      <w:r w:rsidR="00E25D2A" w:rsidRPr="004D0E3D">
        <w:t>z większym ryzykiem ubóstwa energetycznego</w:t>
      </w:r>
      <w:r w:rsidR="005F41C1">
        <w:t xml:space="preserve"> </w:t>
      </w:r>
      <w:r w:rsidR="00E25D2A">
        <w:t xml:space="preserve">związane jest </w:t>
      </w:r>
      <w:r w:rsidR="005F41C1">
        <w:t xml:space="preserve">wykorzystanie </w:t>
      </w:r>
      <w:r w:rsidRPr="004D0E3D">
        <w:t>piec</w:t>
      </w:r>
      <w:r w:rsidR="005F41C1">
        <w:t>ów opalanych</w:t>
      </w:r>
      <w:r w:rsidRPr="004D0E3D">
        <w:t xml:space="preserve"> węgl</w:t>
      </w:r>
      <w:r w:rsidR="005F41C1">
        <w:t>em</w:t>
      </w:r>
      <w:r w:rsidRPr="004D0E3D">
        <w:t xml:space="preserve"> i drewn</w:t>
      </w:r>
      <w:r w:rsidR="005F41C1">
        <w:t>em</w:t>
      </w:r>
      <w:r w:rsidRPr="004D0E3D">
        <w:t xml:space="preserve"> oraz ogrzewani</w:t>
      </w:r>
      <w:r w:rsidR="005F41C1">
        <w:t>a</w:t>
      </w:r>
      <w:r w:rsidRPr="004D0E3D">
        <w:t xml:space="preserve"> elektryczn</w:t>
      </w:r>
      <w:r w:rsidR="005F41C1">
        <w:t>ego</w:t>
      </w:r>
      <w:r w:rsidRPr="004D0E3D">
        <w:t>.</w:t>
      </w:r>
    </w:p>
    <w:p w14:paraId="5B9B6B8C" w14:textId="4EB3825A" w:rsidR="004D0E3D" w:rsidRPr="004D0E3D" w:rsidRDefault="00E25D2A" w:rsidP="004D0E3D">
      <w:pPr>
        <w:pStyle w:val="Bullety"/>
      </w:pPr>
      <w:r>
        <w:t xml:space="preserve">Co ciekawe, gdy kontrolujemy </w:t>
      </w:r>
      <w:r w:rsidR="005F41C1">
        <w:t>inne czynniki</w:t>
      </w:r>
      <w:r w:rsidR="004D0E3D" w:rsidRPr="004D0E3D">
        <w:t xml:space="preserve">, </w:t>
      </w:r>
      <w:r>
        <w:t>za</w:t>
      </w:r>
      <w:r w:rsidR="004D0E3D" w:rsidRPr="004D0E3D">
        <w:t>mieszk</w:t>
      </w:r>
      <w:r>
        <w:t>iw</w:t>
      </w:r>
      <w:r w:rsidR="004D0E3D" w:rsidRPr="004D0E3D">
        <w:t>anie w domu jednorodzinnym jest negatywnie skorelowane z</w:t>
      </w:r>
      <w:r w:rsidR="005F41C1">
        <w:t>e wskaźnikiem</w:t>
      </w:r>
      <w:r w:rsidR="004D0E3D" w:rsidRPr="004D0E3D">
        <w:t xml:space="preserve"> </w:t>
      </w:r>
      <w:r w:rsidR="005F41C1">
        <w:t>Wysokie Koszty, Niskie Dochody</w:t>
      </w:r>
      <w:r w:rsidR="004D0E3D" w:rsidRPr="004D0E3D">
        <w:t xml:space="preserve">, </w:t>
      </w:r>
      <w:r w:rsidR="005F41C1" w:rsidRPr="004D0E3D">
        <w:rPr>
          <w:rFonts w:cs="Arial"/>
        </w:rPr>
        <w:t xml:space="preserve">22% </w:t>
      </w:r>
      <w:r w:rsidR="00B432C8">
        <w:rPr>
          <w:rFonts w:cs="Arial"/>
        </w:rPr>
        <w:t>u</w:t>
      </w:r>
      <w:r w:rsidR="005F41C1" w:rsidRPr="004D0E3D">
        <w:rPr>
          <w:rFonts w:cs="Arial"/>
        </w:rPr>
        <w:t xml:space="preserve">dział wymaganych wydatków na energię </w:t>
      </w:r>
      <w:r w:rsidR="004D0E3D" w:rsidRPr="004D0E3D">
        <w:t xml:space="preserve">i </w:t>
      </w:r>
      <w:r w:rsidR="000E7881">
        <w:t xml:space="preserve">wskaźnikiem </w:t>
      </w:r>
      <w:r w:rsidR="00B432C8">
        <w:rPr>
          <w:rFonts w:cs="Arial"/>
        </w:rPr>
        <w:t>b</w:t>
      </w:r>
      <w:r w:rsidR="005F41C1" w:rsidRPr="00B62C4B">
        <w:rPr>
          <w:rFonts w:cs="Arial"/>
        </w:rPr>
        <w:t>udynk</w:t>
      </w:r>
      <w:r w:rsidR="00B432C8">
        <w:rPr>
          <w:rFonts w:cs="Arial"/>
        </w:rPr>
        <w:t>i</w:t>
      </w:r>
      <w:r w:rsidR="005F41C1" w:rsidRPr="00B62C4B">
        <w:rPr>
          <w:rFonts w:cs="Arial"/>
        </w:rPr>
        <w:t xml:space="preserve"> z przeciekającymi dachami</w:t>
      </w:r>
      <w:r w:rsidR="00CA3DE5">
        <w:rPr>
          <w:rFonts w:cs="Arial"/>
        </w:rPr>
        <w:t xml:space="preserve"> (etc.)</w:t>
      </w:r>
      <w:r>
        <w:rPr>
          <w:rFonts w:cs="Arial"/>
        </w:rPr>
        <w:t xml:space="preserve">. </w:t>
      </w:r>
      <w:r w:rsidR="004D0E3D" w:rsidRPr="004D0E3D">
        <w:t xml:space="preserve">Jedynie </w:t>
      </w:r>
      <w:r w:rsidR="00CA3DE5" w:rsidRPr="00B62C4B">
        <w:rPr>
          <w:rFonts w:cs="Arial"/>
        </w:rPr>
        <w:t>niewystarczając</w:t>
      </w:r>
      <w:r w:rsidR="00CA3DE5">
        <w:rPr>
          <w:rFonts w:cs="Arial"/>
        </w:rPr>
        <w:t>y</w:t>
      </w:r>
      <w:r w:rsidR="00CA3DE5" w:rsidRPr="00B62C4B">
        <w:rPr>
          <w:rFonts w:cs="Arial"/>
        </w:rPr>
        <w:t xml:space="preserve"> komfort ciepln</w:t>
      </w:r>
      <w:r w:rsidR="00CA3DE5">
        <w:rPr>
          <w:rFonts w:cs="Arial"/>
        </w:rPr>
        <w:t>y</w:t>
      </w:r>
      <w:r w:rsidR="004D0E3D" w:rsidRPr="004D0E3D">
        <w:t xml:space="preserve"> jest dodatnio skorelowany z </w:t>
      </w:r>
      <w:r w:rsidR="00CA3DE5">
        <w:t>mieszkaniem w</w:t>
      </w:r>
      <w:r w:rsidR="004D0E3D" w:rsidRPr="004D0E3D">
        <w:t xml:space="preserve"> domu jednorodzinnym (</w:t>
      </w:r>
      <w:r w:rsidR="00CA3DE5">
        <w:t xml:space="preserve">względem mieszkania </w:t>
      </w:r>
      <w:r w:rsidR="004D0E3D" w:rsidRPr="004D0E3D">
        <w:t>w budynku wielorodzinnym).</w:t>
      </w:r>
    </w:p>
    <w:p w14:paraId="7479C800" w14:textId="0BD3F036" w:rsidR="004D0E3D" w:rsidRPr="004D0E3D" w:rsidRDefault="004D0E3D" w:rsidP="004D0E3D">
      <w:pPr>
        <w:pStyle w:val="Bullety"/>
      </w:pPr>
      <w:r w:rsidRPr="004D0E3D">
        <w:t>Gospodarstwa domowe mieszkające w domach o większych powierzchniach są narażone na wyższe ryzyko ubóstwa</w:t>
      </w:r>
      <w:r w:rsidR="00CA3DE5">
        <w:t xml:space="preserve"> energetycznego według wskaźników opartych na wydatkach</w:t>
      </w:r>
      <w:r w:rsidRPr="004D0E3D">
        <w:t>. Może to być związane z wyższymi wydatkami</w:t>
      </w:r>
      <w:r w:rsidR="00CA3DE5">
        <w:t xml:space="preserve"> na</w:t>
      </w:r>
      <w:r w:rsidRPr="004D0E3D">
        <w:t xml:space="preserve"> energ</w:t>
      </w:r>
      <w:r w:rsidR="00CA3DE5">
        <w:t>ię</w:t>
      </w:r>
      <w:r w:rsidRPr="004D0E3D">
        <w:t>.</w:t>
      </w:r>
    </w:p>
    <w:p w14:paraId="7EFAA8A6" w14:textId="347DE301" w:rsidR="004D0E3D" w:rsidRPr="004D0E3D" w:rsidRDefault="002E3AF3" w:rsidP="004D0E3D">
      <w:pPr>
        <w:pStyle w:val="Bullety"/>
      </w:pPr>
      <w:r>
        <w:t>Ryzyko ubóstwa energetycznego</w:t>
      </w:r>
      <w:r w:rsidR="00E25D2A">
        <w:t xml:space="preserve"> według wskaźników</w:t>
      </w:r>
      <w:r w:rsidR="00E25D2A" w:rsidRPr="004D0E3D">
        <w:t xml:space="preserve"> </w:t>
      </w:r>
      <w:r w:rsidR="00E25D2A">
        <w:t>opartych</w:t>
      </w:r>
      <w:r w:rsidR="00E25D2A" w:rsidRPr="004D0E3D">
        <w:t xml:space="preserve"> na wydatk</w:t>
      </w:r>
      <w:r w:rsidR="00E25D2A">
        <w:t>ach</w:t>
      </w:r>
      <w:r>
        <w:t xml:space="preserve"> jest niższe </w:t>
      </w:r>
      <w:r w:rsidR="004D0E3D" w:rsidRPr="004D0E3D">
        <w:t>wraz z</w:t>
      </w:r>
      <w:r>
        <w:t>e wzrostem</w:t>
      </w:r>
      <w:r w:rsidR="004D0E3D" w:rsidRPr="004D0E3D">
        <w:t xml:space="preserve"> liczb</w:t>
      </w:r>
      <w:r>
        <w:t>y</w:t>
      </w:r>
      <w:r w:rsidR="004D0E3D" w:rsidRPr="004D0E3D">
        <w:t xml:space="preserve"> członków gospodarstw</w:t>
      </w:r>
      <w:r>
        <w:t>a</w:t>
      </w:r>
      <w:r w:rsidR="004D0E3D" w:rsidRPr="004D0E3D">
        <w:t xml:space="preserve"> domow</w:t>
      </w:r>
      <w:r>
        <w:t>ego</w:t>
      </w:r>
      <w:r w:rsidR="004D0E3D" w:rsidRPr="004D0E3D">
        <w:t xml:space="preserve">. Dla </w:t>
      </w:r>
      <w:r w:rsidR="00345715">
        <w:t>wskaźnika dotyczącego</w:t>
      </w:r>
      <w:r w:rsidR="004D0E3D" w:rsidRPr="004D0E3D">
        <w:t xml:space="preserve"> komfortu cieplnego relacja jest odwrotna.</w:t>
      </w:r>
    </w:p>
    <w:p w14:paraId="0C7941EC" w14:textId="728B5E67" w:rsidR="00257EAE" w:rsidRDefault="004D0E3D" w:rsidP="00961B46">
      <w:pPr>
        <w:pStyle w:val="Bullety"/>
      </w:pPr>
      <w:r w:rsidRPr="004D0E3D">
        <w:t xml:space="preserve">Według większości </w:t>
      </w:r>
      <w:r w:rsidR="00345715">
        <w:t>wskaźników</w:t>
      </w:r>
      <w:r w:rsidRPr="004D0E3D">
        <w:t xml:space="preserve"> gospodarstwa domowe pracowników </w:t>
      </w:r>
      <w:r w:rsidR="00345715">
        <w:t>biurowych</w:t>
      </w:r>
      <w:r w:rsidRPr="004D0E3D">
        <w:t xml:space="preserve"> </w:t>
      </w:r>
      <w:r w:rsidR="00345715">
        <w:t>są obciążone niższym</w:t>
      </w:r>
      <w:r w:rsidRPr="004D0E3D">
        <w:t xml:space="preserve"> </w:t>
      </w:r>
      <w:r w:rsidR="00345715">
        <w:t xml:space="preserve">ryzykiem </w:t>
      </w:r>
      <w:r w:rsidRPr="004D0E3D">
        <w:t>ubóstw</w:t>
      </w:r>
      <w:r w:rsidR="00345715">
        <w:t>a</w:t>
      </w:r>
      <w:r w:rsidRPr="004D0E3D">
        <w:t xml:space="preserve"> energetyczne</w:t>
      </w:r>
      <w:r w:rsidR="00345715">
        <w:t>go</w:t>
      </w:r>
      <w:r w:rsidRPr="004D0E3D">
        <w:t xml:space="preserve"> niż gospodarstwa domowe pracowników fizycznych. Gospodarstwa domowe żyjące z dochodów z samozatrudnienia są bardziej narażone na ubóstwo energetyczne </w:t>
      </w:r>
      <w:r w:rsidR="00345715">
        <w:t xml:space="preserve">według </w:t>
      </w:r>
      <w:r w:rsidRPr="004D0E3D">
        <w:t xml:space="preserve"> </w:t>
      </w:r>
      <w:r w:rsidR="00345715" w:rsidRPr="00257EAE">
        <w:rPr>
          <w:rFonts w:cs="Arial"/>
        </w:rPr>
        <w:t>podwójnej mediany wydatków na energię</w:t>
      </w:r>
      <w:r w:rsidRPr="004D0E3D">
        <w:t xml:space="preserve">, ale </w:t>
      </w:r>
      <w:r w:rsidR="00257EAE">
        <w:t xml:space="preserve">jest </w:t>
      </w:r>
      <w:r w:rsidRPr="004D0E3D">
        <w:t>mni</w:t>
      </w:r>
      <w:r w:rsidR="00257EAE">
        <w:t xml:space="preserve">ej prawdopodobne, </w:t>
      </w:r>
      <w:r w:rsidRPr="004D0E3D">
        <w:t xml:space="preserve">że </w:t>
      </w:r>
      <w:r w:rsidR="00257EAE">
        <w:t>będą</w:t>
      </w:r>
      <w:r w:rsidRPr="004D0E3D">
        <w:t xml:space="preserve"> ubogie energetycznie zgodnie ze </w:t>
      </w:r>
      <w:r w:rsidR="00257EAE">
        <w:t>wskaźnikiem</w:t>
      </w:r>
      <w:r w:rsidRPr="004D0E3D">
        <w:t xml:space="preserve"> </w:t>
      </w:r>
      <w:r w:rsidR="00257EAE">
        <w:t>Wysokie Koszty, Niskie Dochody</w:t>
      </w:r>
      <w:r w:rsidRPr="004D0E3D">
        <w:t xml:space="preserve"> i </w:t>
      </w:r>
      <w:r w:rsidR="00257EAE">
        <w:t xml:space="preserve">miarą określającą </w:t>
      </w:r>
      <w:r w:rsidR="00257EAE" w:rsidRPr="00257EAE">
        <w:rPr>
          <w:rFonts w:cs="Arial"/>
        </w:rPr>
        <w:t>komfort cieplny</w:t>
      </w:r>
      <w:r w:rsidRPr="004D0E3D">
        <w:t xml:space="preserve">. Gospodarstwa domowe </w:t>
      </w:r>
      <w:r w:rsidR="00E25D2A">
        <w:t>utrzymujące się z emerytury lub renty</w:t>
      </w:r>
      <w:r w:rsidRPr="004D0E3D">
        <w:t xml:space="preserve"> są bardziej narażone na ubóstwo energetyczne zgodnie z </w:t>
      </w:r>
      <w:r w:rsidR="00257EAE" w:rsidRPr="00257EAE">
        <w:rPr>
          <w:rFonts w:cs="Arial"/>
        </w:rPr>
        <w:t>podwójną medianą wydatków na energię</w:t>
      </w:r>
      <w:r w:rsidRPr="004D0E3D">
        <w:t xml:space="preserve">, ale </w:t>
      </w:r>
      <w:r w:rsidR="00257EAE">
        <w:t xml:space="preserve">jest </w:t>
      </w:r>
      <w:r w:rsidRPr="004D0E3D">
        <w:t xml:space="preserve">mniej prawdopodobne, że są </w:t>
      </w:r>
      <w:r w:rsidR="00257EAE">
        <w:t xml:space="preserve">ubogie energetycznie, zgodnie ze wskaźnikiem dotyczącym </w:t>
      </w:r>
      <w:r w:rsidRPr="004D0E3D">
        <w:t>komfort</w:t>
      </w:r>
      <w:r w:rsidR="00257EAE">
        <w:t>u</w:t>
      </w:r>
      <w:r w:rsidRPr="004D0E3D">
        <w:t xml:space="preserve"> ciepln</w:t>
      </w:r>
      <w:r w:rsidR="00257EAE">
        <w:t>ego</w:t>
      </w:r>
      <w:r w:rsidRPr="004D0E3D">
        <w:t xml:space="preserve"> i </w:t>
      </w:r>
      <w:r w:rsidR="000E7881">
        <w:t>wskaźnikiem</w:t>
      </w:r>
      <w:r w:rsidR="00257EAE">
        <w:t xml:space="preserve"> </w:t>
      </w:r>
      <w:r w:rsidR="00257EAE" w:rsidRPr="00257EAE">
        <w:rPr>
          <w:rFonts w:cs="Arial"/>
        </w:rPr>
        <w:t>budynk</w:t>
      </w:r>
      <w:r w:rsidR="000E7881">
        <w:rPr>
          <w:rFonts w:cs="Arial"/>
        </w:rPr>
        <w:t>i</w:t>
      </w:r>
      <w:r w:rsidR="00257EAE" w:rsidRPr="00257EAE">
        <w:rPr>
          <w:rFonts w:cs="Arial"/>
        </w:rPr>
        <w:t xml:space="preserve"> z przeciekającymi dachami (etc.)</w:t>
      </w:r>
      <w:r w:rsidRPr="004D0E3D">
        <w:t xml:space="preserve">. </w:t>
      </w:r>
      <w:r w:rsidR="00257EAE">
        <w:t>R</w:t>
      </w:r>
      <w:r w:rsidRPr="004D0E3D">
        <w:t xml:space="preserve">olnicy </w:t>
      </w:r>
      <w:r w:rsidR="00257EAE">
        <w:t>są obciążeni mniejszym ryzykiem</w:t>
      </w:r>
      <w:r w:rsidRPr="004D0E3D">
        <w:t xml:space="preserve"> ubóstw</w:t>
      </w:r>
      <w:r w:rsidR="00257EAE">
        <w:t>a</w:t>
      </w:r>
      <w:r w:rsidRPr="004D0E3D">
        <w:t xml:space="preserve"> energetyczne</w:t>
      </w:r>
      <w:r w:rsidR="00257EAE">
        <w:t>go</w:t>
      </w:r>
      <w:r w:rsidRPr="004D0E3D">
        <w:t xml:space="preserve"> </w:t>
      </w:r>
      <w:r w:rsidR="00B432C8">
        <w:t>w</w:t>
      </w:r>
      <w:r w:rsidR="00257EAE">
        <w:t>edług subiektywnych wskaźników.</w:t>
      </w:r>
    </w:p>
    <w:p w14:paraId="05324BFD" w14:textId="77777777" w:rsidR="000E7881" w:rsidRPr="000E7881" w:rsidRDefault="004D0E3D" w:rsidP="00756D68">
      <w:pPr>
        <w:pStyle w:val="Bullety"/>
      </w:pPr>
      <w:r w:rsidRPr="004D0E3D">
        <w:t>Oszacowania modeli dla województw potwierdzają wnioski z analizy przestrzennej przedstawione w rozdziale 4.3.</w:t>
      </w:r>
    </w:p>
    <w:p w14:paraId="45DFAF2C" w14:textId="7599EF44" w:rsidR="00756D68" w:rsidRPr="000E7881" w:rsidRDefault="00257EAE" w:rsidP="000E7881">
      <w:pPr>
        <w:pStyle w:val="Bullety"/>
        <w:numPr>
          <w:ilvl w:val="0"/>
          <w:numId w:val="0"/>
        </w:numPr>
      </w:pPr>
      <w:r w:rsidRPr="000E7881">
        <w:rPr>
          <w:b/>
        </w:rPr>
        <w:t>Tabela</w:t>
      </w:r>
      <w:r w:rsidR="00756D68" w:rsidRPr="000E7881">
        <w:rPr>
          <w:b/>
        </w:rPr>
        <w:t xml:space="preserve"> 7 </w:t>
      </w:r>
      <w:r w:rsidRPr="000E7881">
        <w:rPr>
          <w:b/>
        </w:rPr>
        <w:t>Średnie efekty krańcowe regresji logistycznej zestawu wskaźników</w:t>
      </w:r>
    </w:p>
    <w:tbl>
      <w:tblPr>
        <w:tblStyle w:val="Tabela-Siatka"/>
        <w:tblW w:w="8799" w:type="dxa"/>
        <w:tblLook w:val="04A0" w:firstRow="1" w:lastRow="0" w:firstColumn="1" w:lastColumn="0" w:noHBand="0" w:noVBand="1"/>
      </w:tblPr>
      <w:tblGrid>
        <w:gridCol w:w="744"/>
        <w:gridCol w:w="2426"/>
        <w:gridCol w:w="1044"/>
        <w:gridCol w:w="1130"/>
        <w:gridCol w:w="1131"/>
        <w:gridCol w:w="1130"/>
        <w:gridCol w:w="1194"/>
      </w:tblGrid>
      <w:tr w:rsidR="00756D68" w:rsidRPr="00F75602" w14:paraId="1CDCCAF6" w14:textId="77777777" w:rsidTr="00756D68">
        <w:tc>
          <w:tcPr>
            <w:tcW w:w="3170" w:type="dxa"/>
            <w:gridSpan w:val="2"/>
            <w:vMerge w:val="restart"/>
            <w:tcBorders>
              <w:right w:val="single" w:sz="4" w:space="0" w:color="000000"/>
            </w:tcBorders>
            <w:shd w:val="clear" w:color="auto" w:fill="FFFF00"/>
          </w:tcPr>
          <w:p w14:paraId="314FFA42" w14:textId="56C490A9" w:rsidR="00756D68" w:rsidRPr="00257EAE" w:rsidRDefault="00257EAE" w:rsidP="00257EAE">
            <w:pPr>
              <w:pStyle w:val="Normal1"/>
              <w:jc w:val="center"/>
              <w:rPr>
                <w:b/>
                <w:szCs w:val="20"/>
                <w:lang w:val="pl-PL"/>
              </w:rPr>
            </w:pPr>
            <w:r w:rsidRPr="00257EAE">
              <w:rPr>
                <w:b/>
                <w:szCs w:val="20"/>
                <w:lang w:val="pl-PL"/>
              </w:rPr>
              <w:t xml:space="preserve">Wpływ wybranych grup zmiennych na wyjaśnienie </w:t>
            </w:r>
            <w:r>
              <w:rPr>
                <w:b/>
                <w:szCs w:val="20"/>
                <w:lang w:val="pl-PL"/>
              </w:rPr>
              <w:t>zmienności</w:t>
            </w:r>
            <w:r w:rsidRPr="00257EAE">
              <w:rPr>
                <w:b/>
                <w:szCs w:val="20"/>
                <w:lang w:val="pl-PL"/>
              </w:rPr>
              <w:t xml:space="preserve"> ubóstwa energetycznego w Polsce ogółem</w:t>
            </w:r>
          </w:p>
        </w:tc>
        <w:tc>
          <w:tcPr>
            <w:tcW w:w="5629" w:type="dxa"/>
            <w:gridSpan w:val="5"/>
            <w:tcBorders>
              <w:top w:val="single" w:sz="4" w:space="0" w:color="auto"/>
              <w:left w:val="dotted" w:sz="4" w:space="0" w:color="auto"/>
              <w:bottom w:val="dotted" w:sz="4" w:space="0" w:color="auto"/>
              <w:right w:val="single" w:sz="4" w:space="0" w:color="000000"/>
            </w:tcBorders>
            <w:shd w:val="clear" w:color="auto" w:fill="FFFF00"/>
          </w:tcPr>
          <w:p w14:paraId="6440968F" w14:textId="106DC43B" w:rsidR="00756D68" w:rsidRPr="00257EAE" w:rsidRDefault="00257EAE" w:rsidP="00257EAE">
            <w:pPr>
              <w:pStyle w:val="Normal1"/>
              <w:jc w:val="center"/>
              <w:rPr>
                <w:b/>
                <w:szCs w:val="20"/>
                <w:lang w:val="pl-PL"/>
              </w:rPr>
            </w:pPr>
            <w:r w:rsidRPr="00257EAE">
              <w:rPr>
                <w:b/>
                <w:szCs w:val="20"/>
                <w:lang w:val="pl-PL"/>
              </w:rPr>
              <w:t>Zmienna zależna</w:t>
            </w:r>
            <w:r w:rsidR="00756D68" w:rsidRPr="00257EAE">
              <w:rPr>
                <w:b/>
                <w:szCs w:val="20"/>
                <w:lang w:val="pl-PL"/>
              </w:rPr>
              <w:t xml:space="preserve"> – </w:t>
            </w:r>
            <w:r w:rsidRPr="00257EAE">
              <w:rPr>
                <w:b/>
                <w:szCs w:val="20"/>
                <w:lang w:val="pl-PL"/>
              </w:rPr>
              <w:t>wskaźniki ubóstwa energetycznego</w:t>
            </w:r>
          </w:p>
        </w:tc>
      </w:tr>
      <w:tr w:rsidR="00756D68" w14:paraId="534F58D2" w14:textId="77777777" w:rsidTr="00756D68">
        <w:tc>
          <w:tcPr>
            <w:tcW w:w="3170" w:type="dxa"/>
            <w:gridSpan w:val="2"/>
            <w:vMerge/>
            <w:tcBorders>
              <w:right w:val="single" w:sz="4" w:space="0" w:color="000000"/>
            </w:tcBorders>
            <w:shd w:val="clear" w:color="auto" w:fill="FFFF00"/>
          </w:tcPr>
          <w:p w14:paraId="5D62FF21" w14:textId="77777777" w:rsidR="00756D68" w:rsidRPr="00961B46" w:rsidRDefault="00756D68" w:rsidP="00756D68">
            <w:pPr>
              <w:pStyle w:val="Normal1"/>
              <w:jc w:val="left"/>
              <w:rPr>
                <w:b/>
                <w:szCs w:val="20"/>
                <w:lang w:val="pl-PL"/>
              </w:rPr>
            </w:pPr>
          </w:p>
        </w:tc>
        <w:tc>
          <w:tcPr>
            <w:tcW w:w="1044" w:type="dxa"/>
            <w:tcBorders>
              <w:top w:val="dotted" w:sz="4" w:space="0" w:color="auto"/>
              <w:left w:val="dotted" w:sz="4" w:space="0" w:color="auto"/>
              <w:bottom w:val="single" w:sz="4" w:space="0" w:color="auto"/>
              <w:right w:val="single" w:sz="4" w:space="0" w:color="000000"/>
            </w:tcBorders>
            <w:shd w:val="clear" w:color="auto" w:fill="FFFF00"/>
            <w:vAlign w:val="center"/>
          </w:tcPr>
          <w:p w14:paraId="39E284EF" w14:textId="77777777" w:rsidR="00756D68" w:rsidRDefault="00756D68" w:rsidP="00756D68">
            <w:pPr>
              <w:pStyle w:val="Normal1"/>
              <w:jc w:val="center"/>
              <w:rPr>
                <w:szCs w:val="20"/>
              </w:rPr>
            </w:pPr>
            <w:r w:rsidRPr="00FD1BFF">
              <w:rPr>
                <w:b/>
                <w:szCs w:val="20"/>
              </w:rPr>
              <w:t>LIHC</w:t>
            </w:r>
          </w:p>
        </w:tc>
        <w:tc>
          <w:tcPr>
            <w:tcW w:w="1130" w:type="dxa"/>
            <w:tcBorders>
              <w:top w:val="dotted" w:sz="4" w:space="0" w:color="auto"/>
              <w:left w:val="dotted" w:sz="4" w:space="0" w:color="auto"/>
              <w:bottom w:val="single" w:sz="4" w:space="0" w:color="auto"/>
              <w:right w:val="single" w:sz="4" w:space="0" w:color="000000"/>
            </w:tcBorders>
            <w:shd w:val="clear" w:color="auto" w:fill="FFFF00"/>
            <w:vAlign w:val="center"/>
          </w:tcPr>
          <w:p w14:paraId="42128689" w14:textId="77777777" w:rsidR="00756D68" w:rsidRPr="00FD1BFF" w:rsidRDefault="00756D68" w:rsidP="00756D68">
            <w:pPr>
              <w:pStyle w:val="Normal1"/>
              <w:jc w:val="center"/>
              <w:rPr>
                <w:szCs w:val="20"/>
              </w:rPr>
            </w:pPr>
            <w:r w:rsidRPr="00FD1BFF">
              <w:rPr>
                <w:b/>
                <w:szCs w:val="20"/>
              </w:rPr>
              <w:t>22%</w:t>
            </w:r>
          </w:p>
        </w:tc>
        <w:tc>
          <w:tcPr>
            <w:tcW w:w="1131" w:type="dxa"/>
            <w:tcBorders>
              <w:top w:val="dotted" w:sz="4" w:space="0" w:color="auto"/>
              <w:left w:val="dotted" w:sz="4" w:space="0" w:color="auto"/>
              <w:bottom w:val="single" w:sz="4" w:space="0" w:color="auto"/>
              <w:right w:val="single" w:sz="4" w:space="0" w:color="000000"/>
            </w:tcBorders>
            <w:shd w:val="clear" w:color="auto" w:fill="FFFF00"/>
            <w:vAlign w:val="center"/>
          </w:tcPr>
          <w:p w14:paraId="5BC01B12" w14:textId="77777777" w:rsidR="00756D68" w:rsidRPr="00FD1BFF" w:rsidRDefault="00756D68" w:rsidP="00756D68">
            <w:pPr>
              <w:pStyle w:val="Normal1"/>
              <w:jc w:val="center"/>
              <w:rPr>
                <w:szCs w:val="20"/>
              </w:rPr>
            </w:pPr>
            <w:r w:rsidRPr="00FD1BFF">
              <w:rPr>
                <w:b/>
                <w:szCs w:val="20"/>
              </w:rPr>
              <w:t>2M</w:t>
            </w:r>
          </w:p>
        </w:tc>
        <w:tc>
          <w:tcPr>
            <w:tcW w:w="1130" w:type="dxa"/>
            <w:tcBorders>
              <w:top w:val="dotted" w:sz="4" w:space="0" w:color="auto"/>
              <w:left w:val="dotted" w:sz="4" w:space="0" w:color="auto"/>
              <w:bottom w:val="single" w:sz="4" w:space="0" w:color="auto"/>
              <w:right w:val="single" w:sz="4" w:space="0" w:color="000000"/>
            </w:tcBorders>
            <w:shd w:val="clear" w:color="auto" w:fill="FFFF00"/>
            <w:vAlign w:val="center"/>
          </w:tcPr>
          <w:p w14:paraId="73DB718E" w14:textId="77777777" w:rsidR="00756D68" w:rsidRPr="00FD1BFF" w:rsidRDefault="00756D68" w:rsidP="00756D68">
            <w:pPr>
              <w:pStyle w:val="Normal1"/>
              <w:jc w:val="center"/>
              <w:rPr>
                <w:szCs w:val="20"/>
              </w:rPr>
            </w:pPr>
            <w:r w:rsidRPr="00FD1BFF">
              <w:rPr>
                <w:b/>
                <w:szCs w:val="20"/>
              </w:rPr>
              <w:t>LEAK</w:t>
            </w:r>
          </w:p>
        </w:tc>
        <w:tc>
          <w:tcPr>
            <w:tcW w:w="1194" w:type="dxa"/>
            <w:tcBorders>
              <w:top w:val="dotted" w:sz="4" w:space="0" w:color="auto"/>
              <w:left w:val="dotted" w:sz="4" w:space="0" w:color="auto"/>
              <w:bottom w:val="single" w:sz="4" w:space="0" w:color="auto"/>
              <w:right w:val="single" w:sz="4" w:space="0" w:color="000000"/>
            </w:tcBorders>
            <w:shd w:val="clear" w:color="auto" w:fill="FFFF00"/>
            <w:vAlign w:val="center"/>
          </w:tcPr>
          <w:p w14:paraId="44A043A1" w14:textId="77777777" w:rsidR="00756D68" w:rsidRPr="00FD1BFF" w:rsidRDefault="00756D68" w:rsidP="00756D68">
            <w:pPr>
              <w:pStyle w:val="Normal1"/>
              <w:jc w:val="center"/>
              <w:rPr>
                <w:szCs w:val="20"/>
              </w:rPr>
            </w:pPr>
            <w:r w:rsidRPr="00FD1BFF">
              <w:rPr>
                <w:b/>
                <w:szCs w:val="20"/>
              </w:rPr>
              <w:t>THERMAL</w:t>
            </w:r>
          </w:p>
        </w:tc>
      </w:tr>
      <w:tr w:rsidR="00756D68" w14:paraId="19AA519C" w14:textId="77777777" w:rsidTr="00756D68">
        <w:tc>
          <w:tcPr>
            <w:tcW w:w="3170" w:type="dxa"/>
            <w:gridSpan w:val="2"/>
            <w:tcBorders>
              <w:right w:val="single" w:sz="4" w:space="0" w:color="000000"/>
            </w:tcBorders>
            <w:shd w:val="clear" w:color="auto" w:fill="FFFF00"/>
          </w:tcPr>
          <w:p w14:paraId="260F4842" w14:textId="63DCF278" w:rsidR="00756D68" w:rsidRPr="00257EAE" w:rsidRDefault="00257EAE" w:rsidP="00756D68">
            <w:pPr>
              <w:pStyle w:val="Normal1"/>
              <w:jc w:val="left"/>
              <w:rPr>
                <w:szCs w:val="20"/>
                <w:lang w:val="pl-PL"/>
              </w:rPr>
            </w:pPr>
            <w:r w:rsidRPr="00257EAE">
              <w:rPr>
                <w:b/>
                <w:szCs w:val="20"/>
                <w:lang w:val="pl-PL"/>
              </w:rPr>
              <w:t>Logarytm dochodu ekwiwalizowanego</w:t>
            </w:r>
          </w:p>
        </w:tc>
        <w:tc>
          <w:tcPr>
            <w:tcW w:w="1044" w:type="dxa"/>
            <w:tcBorders>
              <w:top w:val="single" w:sz="4" w:space="0" w:color="auto"/>
              <w:left w:val="dotted" w:sz="4" w:space="0" w:color="auto"/>
              <w:bottom w:val="dotted" w:sz="4" w:space="0" w:color="auto"/>
              <w:right w:val="single" w:sz="4" w:space="0" w:color="000000"/>
            </w:tcBorders>
            <w:shd w:val="clear" w:color="auto" w:fill="auto"/>
            <w:vAlign w:val="bottom"/>
          </w:tcPr>
          <w:p w14:paraId="3353C8E5" w14:textId="77777777" w:rsidR="00756D68" w:rsidRPr="007B4908" w:rsidRDefault="00756D68" w:rsidP="00756D68">
            <w:pPr>
              <w:pStyle w:val="Normal1"/>
              <w:jc w:val="left"/>
              <w:rPr>
                <w:szCs w:val="20"/>
              </w:rPr>
            </w:pPr>
            <w:r>
              <w:rPr>
                <w:szCs w:val="20"/>
              </w:rPr>
              <w:t>-0.273</w:t>
            </w:r>
            <w:r w:rsidRPr="00FD1BFF">
              <w:rPr>
                <w:szCs w:val="20"/>
              </w:rPr>
              <w:t>***</w:t>
            </w:r>
          </w:p>
        </w:tc>
        <w:tc>
          <w:tcPr>
            <w:tcW w:w="1130" w:type="dxa"/>
            <w:tcBorders>
              <w:top w:val="single" w:sz="4" w:space="0" w:color="auto"/>
              <w:left w:val="dotted" w:sz="4" w:space="0" w:color="auto"/>
              <w:bottom w:val="dotted" w:sz="4" w:space="0" w:color="auto"/>
              <w:right w:val="single" w:sz="4" w:space="0" w:color="000000"/>
            </w:tcBorders>
            <w:shd w:val="clear" w:color="auto" w:fill="auto"/>
            <w:vAlign w:val="bottom"/>
          </w:tcPr>
          <w:p w14:paraId="304EC685" w14:textId="77777777" w:rsidR="00756D68" w:rsidRPr="007B4908" w:rsidRDefault="00756D68" w:rsidP="00756D68">
            <w:pPr>
              <w:pStyle w:val="Normal1"/>
              <w:jc w:val="left"/>
              <w:rPr>
                <w:szCs w:val="20"/>
              </w:rPr>
            </w:pPr>
            <w:r w:rsidRPr="00FD1BFF">
              <w:rPr>
                <w:szCs w:val="20"/>
              </w:rPr>
              <w:t>-0.186***</w:t>
            </w:r>
          </w:p>
        </w:tc>
        <w:tc>
          <w:tcPr>
            <w:tcW w:w="1131" w:type="dxa"/>
            <w:tcBorders>
              <w:top w:val="single" w:sz="4" w:space="0" w:color="auto"/>
              <w:left w:val="dotted" w:sz="4" w:space="0" w:color="auto"/>
              <w:bottom w:val="dotted" w:sz="4" w:space="0" w:color="auto"/>
              <w:right w:val="single" w:sz="4" w:space="0" w:color="000000"/>
            </w:tcBorders>
            <w:shd w:val="clear" w:color="auto" w:fill="auto"/>
            <w:vAlign w:val="bottom"/>
          </w:tcPr>
          <w:p w14:paraId="5922A12D" w14:textId="77777777" w:rsidR="00756D68" w:rsidRPr="007B4908" w:rsidRDefault="00756D68" w:rsidP="00756D68">
            <w:pPr>
              <w:pStyle w:val="Normal1"/>
              <w:jc w:val="left"/>
              <w:rPr>
                <w:szCs w:val="20"/>
              </w:rPr>
            </w:pPr>
            <w:r w:rsidRPr="00FD1BFF">
              <w:rPr>
                <w:szCs w:val="20"/>
              </w:rPr>
              <w:t>-0.210***</w:t>
            </w:r>
          </w:p>
        </w:tc>
        <w:tc>
          <w:tcPr>
            <w:tcW w:w="1130" w:type="dxa"/>
            <w:tcBorders>
              <w:top w:val="single" w:sz="4" w:space="0" w:color="auto"/>
              <w:left w:val="dotted" w:sz="4" w:space="0" w:color="auto"/>
              <w:bottom w:val="dotted" w:sz="4" w:space="0" w:color="auto"/>
              <w:right w:val="single" w:sz="4" w:space="0" w:color="000000"/>
            </w:tcBorders>
            <w:shd w:val="clear" w:color="auto" w:fill="auto"/>
            <w:vAlign w:val="bottom"/>
          </w:tcPr>
          <w:p w14:paraId="208E126B" w14:textId="77777777" w:rsidR="00756D68" w:rsidRPr="007B4908" w:rsidRDefault="00756D68" w:rsidP="00756D68">
            <w:pPr>
              <w:pStyle w:val="Normal1"/>
              <w:jc w:val="left"/>
              <w:rPr>
                <w:szCs w:val="20"/>
              </w:rPr>
            </w:pPr>
            <w:r w:rsidRPr="00FD1BFF">
              <w:rPr>
                <w:szCs w:val="20"/>
              </w:rPr>
              <w:t>-0.052***</w:t>
            </w:r>
          </w:p>
        </w:tc>
        <w:tc>
          <w:tcPr>
            <w:tcW w:w="1194" w:type="dxa"/>
            <w:tcBorders>
              <w:top w:val="single" w:sz="4" w:space="0" w:color="auto"/>
              <w:left w:val="dotted" w:sz="4" w:space="0" w:color="auto"/>
              <w:bottom w:val="dotted" w:sz="4" w:space="0" w:color="auto"/>
              <w:right w:val="single" w:sz="4" w:space="0" w:color="000000"/>
            </w:tcBorders>
            <w:shd w:val="clear" w:color="auto" w:fill="auto"/>
            <w:vAlign w:val="bottom"/>
          </w:tcPr>
          <w:p w14:paraId="056548E6" w14:textId="77777777" w:rsidR="00756D68" w:rsidRPr="007B4908" w:rsidRDefault="00756D68" w:rsidP="00756D68">
            <w:pPr>
              <w:pStyle w:val="Normal1"/>
              <w:jc w:val="left"/>
              <w:rPr>
                <w:szCs w:val="20"/>
              </w:rPr>
            </w:pPr>
            <w:r w:rsidRPr="00FD1BFF">
              <w:rPr>
                <w:szCs w:val="20"/>
              </w:rPr>
              <w:t>-0.034***</w:t>
            </w:r>
          </w:p>
        </w:tc>
      </w:tr>
      <w:tr w:rsidR="00756D68" w14:paraId="784D26E7" w14:textId="77777777" w:rsidTr="006A1C43">
        <w:tc>
          <w:tcPr>
            <w:tcW w:w="744" w:type="dxa"/>
            <w:vMerge w:val="restart"/>
            <w:tcBorders>
              <w:right w:val="dotted" w:sz="4" w:space="0" w:color="auto"/>
            </w:tcBorders>
            <w:shd w:val="clear" w:color="auto" w:fill="FFFF00"/>
            <w:textDirection w:val="btLr"/>
          </w:tcPr>
          <w:p w14:paraId="36098E09" w14:textId="4AA0DBBC" w:rsidR="00756D68" w:rsidRPr="00D50D1E" w:rsidRDefault="00D50D1E" w:rsidP="00756D68">
            <w:pPr>
              <w:pStyle w:val="Normal1"/>
              <w:ind w:left="113" w:right="113"/>
              <w:jc w:val="center"/>
              <w:rPr>
                <w:b/>
                <w:szCs w:val="20"/>
                <w:lang w:val="pl-PL"/>
              </w:rPr>
            </w:pPr>
            <w:r w:rsidRPr="00D50D1E">
              <w:rPr>
                <w:b/>
                <w:szCs w:val="20"/>
                <w:lang w:val="pl-PL"/>
              </w:rPr>
              <w:t>klasa miejscowości</w:t>
            </w:r>
          </w:p>
        </w:tc>
        <w:tc>
          <w:tcPr>
            <w:tcW w:w="8055" w:type="dxa"/>
            <w:gridSpan w:val="6"/>
            <w:tcBorders>
              <w:top w:val="dotted" w:sz="4" w:space="0" w:color="auto"/>
              <w:left w:val="dotted" w:sz="4" w:space="0" w:color="auto"/>
              <w:bottom w:val="dotted" w:sz="4" w:space="0" w:color="auto"/>
              <w:right w:val="single" w:sz="4" w:space="0" w:color="000000"/>
            </w:tcBorders>
            <w:shd w:val="clear" w:color="auto" w:fill="D9D9D9" w:themeFill="background1" w:themeFillShade="D9"/>
            <w:vAlign w:val="bottom"/>
          </w:tcPr>
          <w:p w14:paraId="279ACA3C" w14:textId="400E255B" w:rsidR="00756D68" w:rsidRPr="007B4908" w:rsidRDefault="00756D68" w:rsidP="00756D68">
            <w:pPr>
              <w:pStyle w:val="Normal1"/>
              <w:jc w:val="left"/>
              <w:rPr>
                <w:szCs w:val="20"/>
              </w:rPr>
            </w:pPr>
            <w:r w:rsidRPr="007B4908">
              <w:rPr>
                <w:szCs w:val="20"/>
              </w:rPr>
              <w:t xml:space="preserve">REF: 500 </w:t>
            </w:r>
            <w:r w:rsidR="002E5705" w:rsidRPr="002E5705">
              <w:rPr>
                <w:szCs w:val="20"/>
                <w:lang w:val="pl-PL"/>
              </w:rPr>
              <w:t>tysięcy mieszkańców</w:t>
            </w:r>
          </w:p>
        </w:tc>
      </w:tr>
      <w:tr w:rsidR="00756D68" w14:paraId="3E7C72AF" w14:textId="77777777" w:rsidTr="006A1C43">
        <w:tc>
          <w:tcPr>
            <w:tcW w:w="744" w:type="dxa"/>
            <w:vMerge/>
            <w:tcBorders>
              <w:right w:val="dotted" w:sz="4" w:space="0" w:color="auto"/>
            </w:tcBorders>
            <w:shd w:val="clear" w:color="auto" w:fill="FFFF00"/>
          </w:tcPr>
          <w:p w14:paraId="42DA5438"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bottom"/>
          </w:tcPr>
          <w:p w14:paraId="4CDDBC30" w14:textId="275DE798" w:rsidR="00756D68" w:rsidRPr="00774F17" w:rsidRDefault="00756D68" w:rsidP="002E5705">
            <w:pPr>
              <w:pStyle w:val="Normal1"/>
              <w:jc w:val="center"/>
              <w:rPr>
                <w:szCs w:val="20"/>
              </w:rPr>
            </w:pPr>
            <w:r w:rsidRPr="00FD1BFF">
              <w:rPr>
                <w:szCs w:val="20"/>
              </w:rPr>
              <w:t xml:space="preserve">200-499 </w:t>
            </w:r>
            <w:r w:rsidR="002E5705" w:rsidRPr="002E5705">
              <w:rPr>
                <w:szCs w:val="20"/>
                <w:lang w:val="pl-PL"/>
              </w:rPr>
              <w:t>tysięcy mieszkańców</w:t>
            </w:r>
          </w:p>
        </w:tc>
        <w:tc>
          <w:tcPr>
            <w:tcW w:w="1044" w:type="dxa"/>
            <w:tcBorders>
              <w:top w:val="dotted" w:sz="4" w:space="0" w:color="auto"/>
              <w:left w:val="dotted" w:sz="4" w:space="0" w:color="auto"/>
              <w:bottom w:val="dotted" w:sz="4" w:space="0" w:color="auto"/>
              <w:right w:val="dotted" w:sz="4" w:space="0" w:color="auto"/>
            </w:tcBorders>
          </w:tcPr>
          <w:p w14:paraId="71896117" w14:textId="77777777" w:rsidR="00756D68" w:rsidRPr="00774F17" w:rsidRDefault="00756D68" w:rsidP="00756D68">
            <w:pPr>
              <w:pStyle w:val="Normal1"/>
              <w:jc w:val="center"/>
              <w:rPr>
                <w:szCs w:val="20"/>
              </w:rPr>
            </w:pPr>
            <w:r w:rsidRPr="00EF1585">
              <w:t>-0.007</w:t>
            </w:r>
          </w:p>
        </w:tc>
        <w:tc>
          <w:tcPr>
            <w:tcW w:w="1130" w:type="dxa"/>
            <w:tcBorders>
              <w:top w:val="dotted" w:sz="4" w:space="0" w:color="auto"/>
              <w:left w:val="dotted" w:sz="4" w:space="0" w:color="auto"/>
              <w:bottom w:val="dotted" w:sz="4" w:space="0" w:color="auto"/>
              <w:right w:val="dotted" w:sz="4" w:space="0" w:color="auto"/>
            </w:tcBorders>
          </w:tcPr>
          <w:p w14:paraId="3E5E9F86" w14:textId="77777777" w:rsidR="00756D68" w:rsidRPr="00774F17" w:rsidRDefault="00756D68" w:rsidP="00756D68">
            <w:pPr>
              <w:pStyle w:val="Normal1"/>
              <w:jc w:val="center"/>
              <w:rPr>
                <w:szCs w:val="20"/>
              </w:rPr>
            </w:pPr>
            <w:r w:rsidRPr="00EF1585">
              <w:t>-0.000</w:t>
            </w:r>
          </w:p>
        </w:tc>
        <w:tc>
          <w:tcPr>
            <w:tcW w:w="1131" w:type="dxa"/>
            <w:tcBorders>
              <w:top w:val="dotted" w:sz="4" w:space="0" w:color="auto"/>
              <w:left w:val="dotted" w:sz="4" w:space="0" w:color="auto"/>
              <w:bottom w:val="dotted" w:sz="4" w:space="0" w:color="auto"/>
              <w:right w:val="dotted" w:sz="4" w:space="0" w:color="auto"/>
            </w:tcBorders>
          </w:tcPr>
          <w:p w14:paraId="4F1AAE5F" w14:textId="77777777" w:rsidR="00756D68" w:rsidRPr="00774F17" w:rsidRDefault="00756D68" w:rsidP="00756D68">
            <w:pPr>
              <w:pStyle w:val="Normal1"/>
              <w:jc w:val="center"/>
              <w:rPr>
                <w:szCs w:val="20"/>
              </w:rPr>
            </w:pPr>
            <w:r w:rsidRPr="00EF1585">
              <w:t>-0.014</w:t>
            </w:r>
          </w:p>
        </w:tc>
        <w:tc>
          <w:tcPr>
            <w:tcW w:w="1130" w:type="dxa"/>
            <w:tcBorders>
              <w:top w:val="dotted" w:sz="4" w:space="0" w:color="auto"/>
              <w:left w:val="dotted" w:sz="4" w:space="0" w:color="auto"/>
              <w:bottom w:val="dotted" w:sz="4" w:space="0" w:color="auto"/>
              <w:right w:val="dotted" w:sz="4" w:space="0" w:color="auto"/>
            </w:tcBorders>
          </w:tcPr>
          <w:p w14:paraId="4DA0526B" w14:textId="77777777" w:rsidR="00756D68" w:rsidRPr="00774F17" w:rsidRDefault="00756D68" w:rsidP="00756D68">
            <w:pPr>
              <w:pStyle w:val="Normal1"/>
              <w:jc w:val="center"/>
              <w:rPr>
                <w:szCs w:val="20"/>
              </w:rPr>
            </w:pPr>
            <w:r w:rsidRPr="00EF1585">
              <w:t>0.004</w:t>
            </w:r>
          </w:p>
        </w:tc>
        <w:tc>
          <w:tcPr>
            <w:tcW w:w="1194" w:type="dxa"/>
            <w:tcBorders>
              <w:top w:val="dotted" w:sz="4" w:space="0" w:color="auto"/>
              <w:left w:val="dotted" w:sz="4" w:space="0" w:color="auto"/>
              <w:bottom w:val="dotted" w:sz="4" w:space="0" w:color="auto"/>
              <w:right w:val="single" w:sz="4" w:space="0" w:color="000000"/>
            </w:tcBorders>
          </w:tcPr>
          <w:p w14:paraId="1A86BFE5" w14:textId="77777777" w:rsidR="00756D68" w:rsidRPr="00774F17" w:rsidRDefault="00756D68" w:rsidP="00756D68">
            <w:pPr>
              <w:pStyle w:val="Normal1"/>
              <w:jc w:val="center"/>
              <w:rPr>
                <w:szCs w:val="20"/>
              </w:rPr>
            </w:pPr>
            <w:r w:rsidRPr="00EF1585">
              <w:t>-0.001</w:t>
            </w:r>
          </w:p>
        </w:tc>
      </w:tr>
      <w:tr w:rsidR="00756D68" w14:paraId="6E8B333F" w14:textId="77777777" w:rsidTr="006A1C43">
        <w:tc>
          <w:tcPr>
            <w:tcW w:w="744" w:type="dxa"/>
            <w:vMerge/>
            <w:tcBorders>
              <w:right w:val="dotted" w:sz="4" w:space="0" w:color="auto"/>
            </w:tcBorders>
            <w:shd w:val="clear" w:color="auto" w:fill="FFFF00"/>
          </w:tcPr>
          <w:p w14:paraId="474869C8"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bottom"/>
          </w:tcPr>
          <w:p w14:paraId="400EFF10" w14:textId="380754B9" w:rsidR="00756D68" w:rsidRPr="00774F17" w:rsidRDefault="00756D68" w:rsidP="00756D68">
            <w:pPr>
              <w:pStyle w:val="Normal1"/>
              <w:jc w:val="center"/>
              <w:rPr>
                <w:szCs w:val="20"/>
              </w:rPr>
            </w:pPr>
            <w:r w:rsidRPr="00FD1BFF">
              <w:rPr>
                <w:szCs w:val="20"/>
              </w:rPr>
              <w:t xml:space="preserve">100-199 </w:t>
            </w:r>
            <w:r w:rsidR="002E5705" w:rsidRPr="002E5705">
              <w:rPr>
                <w:szCs w:val="20"/>
                <w:lang w:val="pl-PL"/>
              </w:rPr>
              <w:t>tysięcy mieszkańców</w:t>
            </w:r>
          </w:p>
        </w:tc>
        <w:tc>
          <w:tcPr>
            <w:tcW w:w="1044" w:type="dxa"/>
            <w:tcBorders>
              <w:top w:val="dotted" w:sz="4" w:space="0" w:color="auto"/>
              <w:left w:val="dotted" w:sz="4" w:space="0" w:color="auto"/>
              <w:bottom w:val="dotted" w:sz="4" w:space="0" w:color="auto"/>
              <w:right w:val="dotted" w:sz="4" w:space="0" w:color="auto"/>
            </w:tcBorders>
          </w:tcPr>
          <w:p w14:paraId="1A5BE7C0" w14:textId="77777777" w:rsidR="00756D68" w:rsidRPr="00774F17" w:rsidRDefault="00756D68" w:rsidP="00756D68">
            <w:pPr>
              <w:pStyle w:val="Normal1"/>
              <w:jc w:val="center"/>
              <w:rPr>
                <w:szCs w:val="20"/>
              </w:rPr>
            </w:pPr>
            <w:r w:rsidRPr="00EF1585">
              <w:t>-0.011</w:t>
            </w:r>
          </w:p>
        </w:tc>
        <w:tc>
          <w:tcPr>
            <w:tcW w:w="1130" w:type="dxa"/>
            <w:tcBorders>
              <w:top w:val="dotted" w:sz="4" w:space="0" w:color="auto"/>
              <w:left w:val="dotted" w:sz="4" w:space="0" w:color="auto"/>
              <w:bottom w:val="dotted" w:sz="4" w:space="0" w:color="auto"/>
              <w:right w:val="dotted" w:sz="4" w:space="0" w:color="auto"/>
            </w:tcBorders>
          </w:tcPr>
          <w:p w14:paraId="52D6698B" w14:textId="77777777" w:rsidR="00756D68" w:rsidRPr="00774F17" w:rsidRDefault="00756D68" w:rsidP="00756D68">
            <w:pPr>
              <w:pStyle w:val="Normal1"/>
              <w:jc w:val="center"/>
              <w:rPr>
                <w:szCs w:val="20"/>
              </w:rPr>
            </w:pPr>
            <w:r w:rsidRPr="00EF1585">
              <w:t>-0.009**</w:t>
            </w:r>
          </w:p>
        </w:tc>
        <w:tc>
          <w:tcPr>
            <w:tcW w:w="1131" w:type="dxa"/>
            <w:tcBorders>
              <w:top w:val="dotted" w:sz="4" w:space="0" w:color="auto"/>
              <w:left w:val="dotted" w:sz="4" w:space="0" w:color="auto"/>
              <w:bottom w:val="dotted" w:sz="4" w:space="0" w:color="auto"/>
              <w:right w:val="dotted" w:sz="4" w:space="0" w:color="auto"/>
            </w:tcBorders>
          </w:tcPr>
          <w:p w14:paraId="069BED90" w14:textId="77777777" w:rsidR="00756D68" w:rsidRPr="00774F17" w:rsidRDefault="00756D68" w:rsidP="00756D68">
            <w:pPr>
              <w:pStyle w:val="Normal1"/>
              <w:jc w:val="center"/>
              <w:rPr>
                <w:szCs w:val="20"/>
              </w:rPr>
            </w:pPr>
            <w:r w:rsidRPr="00EF1585">
              <w:t>0.002</w:t>
            </w:r>
          </w:p>
        </w:tc>
        <w:tc>
          <w:tcPr>
            <w:tcW w:w="1130" w:type="dxa"/>
            <w:tcBorders>
              <w:top w:val="dotted" w:sz="4" w:space="0" w:color="auto"/>
              <w:left w:val="dotted" w:sz="4" w:space="0" w:color="auto"/>
              <w:bottom w:val="dotted" w:sz="4" w:space="0" w:color="auto"/>
              <w:right w:val="dotted" w:sz="4" w:space="0" w:color="auto"/>
            </w:tcBorders>
          </w:tcPr>
          <w:p w14:paraId="26F56EA7" w14:textId="77777777" w:rsidR="00756D68" w:rsidRPr="00774F17" w:rsidRDefault="00756D68" w:rsidP="00756D68">
            <w:pPr>
              <w:pStyle w:val="Normal1"/>
              <w:jc w:val="center"/>
              <w:rPr>
                <w:szCs w:val="20"/>
              </w:rPr>
            </w:pPr>
            <w:r w:rsidRPr="00EF1585">
              <w:t>0.001</w:t>
            </w:r>
          </w:p>
        </w:tc>
        <w:tc>
          <w:tcPr>
            <w:tcW w:w="1194" w:type="dxa"/>
            <w:tcBorders>
              <w:top w:val="dotted" w:sz="4" w:space="0" w:color="auto"/>
              <w:left w:val="dotted" w:sz="4" w:space="0" w:color="auto"/>
              <w:bottom w:val="dotted" w:sz="4" w:space="0" w:color="auto"/>
              <w:right w:val="single" w:sz="4" w:space="0" w:color="000000"/>
            </w:tcBorders>
          </w:tcPr>
          <w:p w14:paraId="30A2BF21" w14:textId="77777777" w:rsidR="00756D68" w:rsidRPr="00774F17" w:rsidRDefault="00756D68" w:rsidP="00756D68">
            <w:pPr>
              <w:pStyle w:val="Normal1"/>
              <w:jc w:val="center"/>
              <w:rPr>
                <w:szCs w:val="20"/>
              </w:rPr>
            </w:pPr>
            <w:r w:rsidRPr="00EF1585">
              <w:t>-0.015*</w:t>
            </w:r>
          </w:p>
        </w:tc>
      </w:tr>
      <w:tr w:rsidR="00756D68" w14:paraId="25F47AC7" w14:textId="77777777" w:rsidTr="006A1C43">
        <w:tc>
          <w:tcPr>
            <w:tcW w:w="744" w:type="dxa"/>
            <w:vMerge/>
            <w:tcBorders>
              <w:right w:val="dotted" w:sz="4" w:space="0" w:color="auto"/>
            </w:tcBorders>
            <w:shd w:val="clear" w:color="auto" w:fill="FFFF00"/>
          </w:tcPr>
          <w:p w14:paraId="6D39E50E"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bottom"/>
          </w:tcPr>
          <w:p w14:paraId="61153CF3" w14:textId="0DA8A3F9" w:rsidR="00756D68" w:rsidRPr="00774F17" w:rsidRDefault="00756D68" w:rsidP="00756D68">
            <w:pPr>
              <w:pStyle w:val="Normal1"/>
              <w:jc w:val="center"/>
              <w:rPr>
                <w:szCs w:val="20"/>
              </w:rPr>
            </w:pPr>
            <w:r w:rsidRPr="00FD1BFF">
              <w:rPr>
                <w:szCs w:val="20"/>
              </w:rPr>
              <w:t xml:space="preserve">20-99 </w:t>
            </w:r>
            <w:r w:rsidR="002E5705" w:rsidRPr="002E5705">
              <w:rPr>
                <w:szCs w:val="20"/>
                <w:lang w:val="pl-PL"/>
              </w:rPr>
              <w:t>tysięcy mieszkańców</w:t>
            </w:r>
          </w:p>
        </w:tc>
        <w:tc>
          <w:tcPr>
            <w:tcW w:w="1044" w:type="dxa"/>
            <w:tcBorders>
              <w:top w:val="dotted" w:sz="4" w:space="0" w:color="auto"/>
              <w:left w:val="dotted" w:sz="4" w:space="0" w:color="auto"/>
              <w:bottom w:val="dotted" w:sz="4" w:space="0" w:color="auto"/>
              <w:right w:val="dotted" w:sz="4" w:space="0" w:color="auto"/>
            </w:tcBorders>
          </w:tcPr>
          <w:p w14:paraId="06D021A7" w14:textId="77777777" w:rsidR="00756D68" w:rsidRPr="00774F17" w:rsidRDefault="00756D68" w:rsidP="00756D68">
            <w:pPr>
              <w:pStyle w:val="Normal1"/>
              <w:jc w:val="center"/>
              <w:rPr>
                <w:szCs w:val="20"/>
              </w:rPr>
            </w:pPr>
            <w:r w:rsidRPr="00EF1585">
              <w:t>-0.014**</w:t>
            </w:r>
          </w:p>
        </w:tc>
        <w:tc>
          <w:tcPr>
            <w:tcW w:w="1130" w:type="dxa"/>
            <w:tcBorders>
              <w:top w:val="dotted" w:sz="4" w:space="0" w:color="auto"/>
              <w:left w:val="dotted" w:sz="4" w:space="0" w:color="auto"/>
              <w:bottom w:val="dotted" w:sz="4" w:space="0" w:color="auto"/>
              <w:right w:val="dotted" w:sz="4" w:space="0" w:color="auto"/>
            </w:tcBorders>
          </w:tcPr>
          <w:p w14:paraId="79A7C24E" w14:textId="77777777" w:rsidR="00756D68" w:rsidRPr="00774F17" w:rsidRDefault="00756D68" w:rsidP="00756D68">
            <w:pPr>
              <w:pStyle w:val="Normal1"/>
              <w:jc w:val="center"/>
              <w:rPr>
                <w:szCs w:val="20"/>
              </w:rPr>
            </w:pPr>
            <w:r w:rsidRPr="00EF1585">
              <w:t>-0.003</w:t>
            </w:r>
          </w:p>
        </w:tc>
        <w:tc>
          <w:tcPr>
            <w:tcW w:w="1131" w:type="dxa"/>
            <w:tcBorders>
              <w:top w:val="dotted" w:sz="4" w:space="0" w:color="auto"/>
              <w:left w:val="dotted" w:sz="4" w:space="0" w:color="auto"/>
              <w:bottom w:val="dotted" w:sz="4" w:space="0" w:color="auto"/>
              <w:right w:val="dotted" w:sz="4" w:space="0" w:color="auto"/>
            </w:tcBorders>
          </w:tcPr>
          <w:p w14:paraId="33D624D8" w14:textId="77777777" w:rsidR="00756D68" w:rsidRPr="00774F17" w:rsidRDefault="00756D68" w:rsidP="00756D68">
            <w:pPr>
              <w:pStyle w:val="Normal1"/>
              <w:jc w:val="center"/>
              <w:rPr>
                <w:szCs w:val="20"/>
              </w:rPr>
            </w:pPr>
            <w:r w:rsidRPr="00EF1585">
              <w:t>-0.004</w:t>
            </w:r>
          </w:p>
        </w:tc>
        <w:tc>
          <w:tcPr>
            <w:tcW w:w="1130" w:type="dxa"/>
            <w:tcBorders>
              <w:top w:val="dotted" w:sz="4" w:space="0" w:color="auto"/>
              <w:left w:val="dotted" w:sz="4" w:space="0" w:color="auto"/>
              <w:bottom w:val="dotted" w:sz="4" w:space="0" w:color="auto"/>
              <w:right w:val="dotted" w:sz="4" w:space="0" w:color="auto"/>
            </w:tcBorders>
          </w:tcPr>
          <w:p w14:paraId="39504BB6" w14:textId="77777777" w:rsidR="00756D68" w:rsidRPr="00774F17" w:rsidRDefault="00756D68" w:rsidP="00756D68">
            <w:pPr>
              <w:pStyle w:val="Normal1"/>
              <w:jc w:val="center"/>
              <w:rPr>
                <w:szCs w:val="20"/>
              </w:rPr>
            </w:pPr>
            <w:r w:rsidRPr="00EF1585">
              <w:t>-0.007*</w:t>
            </w:r>
          </w:p>
        </w:tc>
        <w:tc>
          <w:tcPr>
            <w:tcW w:w="1194" w:type="dxa"/>
            <w:tcBorders>
              <w:top w:val="dotted" w:sz="4" w:space="0" w:color="auto"/>
              <w:left w:val="dotted" w:sz="4" w:space="0" w:color="auto"/>
              <w:bottom w:val="dotted" w:sz="4" w:space="0" w:color="auto"/>
              <w:right w:val="single" w:sz="4" w:space="0" w:color="000000"/>
            </w:tcBorders>
          </w:tcPr>
          <w:p w14:paraId="58754568" w14:textId="77777777" w:rsidR="00756D68" w:rsidRPr="00774F17" w:rsidRDefault="00756D68" w:rsidP="00756D68">
            <w:pPr>
              <w:pStyle w:val="Normal1"/>
              <w:jc w:val="center"/>
              <w:rPr>
                <w:szCs w:val="20"/>
              </w:rPr>
            </w:pPr>
            <w:r w:rsidRPr="00EF1585">
              <w:t>-0.006</w:t>
            </w:r>
          </w:p>
        </w:tc>
      </w:tr>
      <w:tr w:rsidR="00756D68" w14:paraId="254ECC31" w14:textId="77777777" w:rsidTr="006A1C43">
        <w:tc>
          <w:tcPr>
            <w:tcW w:w="744" w:type="dxa"/>
            <w:vMerge/>
            <w:tcBorders>
              <w:right w:val="dotted" w:sz="4" w:space="0" w:color="auto"/>
            </w:tcBorders>
            <w:shd w:val="clear" w:color="auto" w:fill="FFFF00"/>
          </w:tcPr>
          <w:p w14:paraId="2F16EF86"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bottom"/>
          </w:tcPr>
          <w:p w14:paraId="1DEFA93F" w14:textId="19026ED1" w:rsidR="00756D68" w:rsidRPr="002E5705" w:rsidRDefault="002E5705" w:rsidP="00756D68">
            <w:pPr>
              <w:pStyle w:val="Normal1"/>
              <w:jc w:val="center"/>
              <w:rPr>
                <w:szCs w:val="20"/>
                <w:lang w:val="pl-PL"/>
              </w:rPr>
            </w:pPr>
            <w:r>
              <w:rPr>
                <w:szCs w:val="20"/>
                <w:lang w:val="pl-PL"/>
              </w:rPr>
              <w:t>m</w:t>
            </w:r>
            <w:r w:rsidRPr="002E5705">
              <w:rPr>
                <w:szCs w:val="20"/>
                <w:lang w:val="pl-PL"/>
              </w:rPr>
              <w:t>niej niż</w:t>
            </w:r>
            <w:r w:rsidR="00756D68" w:rsidRPr="002E5705">
              <w:rPr>
                <w:szCs w:val="20"/>
                <w:lang w:val="pl-PL"/>
              </w:rPr>
              <w:t xml:space="preserve"> 20 </w:t>
            </w:r>
            <w:r w:rsidRPr="002E5705">
              <w:rPr>
                <w:szCs w:val="20"/>
                <w:lang w:val="pl-PL"/>
              </w:rPr>
              <w:t>tysięcy mieszkańców</w:t>
            </w:r>
          </w:p>
        </w:tc>
        <w:tc>
          <w:tcPr>
            <w:tcW w:w="1044" w:type="dxa"/>
            <w:tcBorders>
              <w:top w:val="dotted" w:sz="4" w:space="0" w:color="auto"/>
              <w:left w:val="dotted" w:sz="4" w:space="0" w:color="auto"/>
              <w:bottom w:val="dotted" w:sz="4" w:space="0" w:color="auto"/>
              <w:right w:val="dotted" w:sz="4" w:space="0" w:color="auto"/>
            </w:tcBorders>
          </w:tcPr>
          <w:p w14:paraId="0E3C86E5" w14:textId="77777777" w:rsidR="00756D68" w:rsidRPr="00774F17" w:rsidRDefault="00756D68" w:rsidP="00756D68">
            <w:pPr>
              <w:pStyle w:val="Normal1"/>
              <w:jc w:val="center"/>
              <w:rPr>
                <w:szCs w:val="20"/>
              </w:rPr>
            </w:pPr>
            <w:r w:rsidRPr="00EF1585">
              <w:t>-0.000</w:t>
            </w:r>
          </w:p>
        </w:tc>
        <w:tc>
          <w:tcPr>
            <w:tcW w:w="1130" w:type="dxa"/>
            <w:tcBorders>
              <w:top w:val="dotted" w:sz="4" w:space="0" w:color="auto"/>
              <w:left w:val="dotted" w:sz="4" w:space="0" w:color="auto"/>
              <w:bottom w:val="dotted" w:sz="4" w:space="0" w:color="auto"/>
              <w:right w:val="dotted" w:sz="4" w:space="0" w:color="auto"/>
            </w:tcBorders>
          </w:tcPr>
          <w:p w14:paraId="430FAABA" w14:textId="77777777" w:rsidR="00756D68" w:rsidRPr="00774F17" w:rsidRDefault="00756D68" w:rsidP="00756D68">
            <w:pPr>
              <w:pStyle w:val="Normal1"/>
              <w:jc w:val="center"/>
              <w:rPr>
                <w:szCs w:val="20"/>
              </w:rPr>
            </w:pPr>
            <w:r w:rsidRPr="00EF1585">
              <w:t>0.002</w:t>
            </w:r>
          </w:p>
        </w:tc>
        <w:tc>
          <w:tcPr>
            <w:tcW w:w="1131" w:type="dxa"/>
            <w:tcBorders>
              <w:top w:val="dotted" w:sz="4" w:space="0" w:color="auto"/>
              <w:left w:val="dotted" w:sz="4" w:space="0" w:color="auto"/>
              <w:bottom w:val="dotted" w:sz="4" w:space="0" w:color="auto"/>
              <w:right w:val="dotted" w:sz="4" w:space="0" w:color="auto"/>
            </w:tcBorders>
          </w:tcPr>
          <w:p w14:paraId="4B156980" w14:textId="77777777" w:rsidR="00756D68" w:rsidRPr="00774F17" w:rsidRDefault="00756D68" w:rsidP="00756D68">
            <w:pPr>
              <w:pStyle w:val="Normal1"/>
              <w:jc w:val="center"/>
              <w:rPr>
                <w:szCs w:val="20"/>
              </w:rPr>
            </w:pPr>
            <w:r w:rsidRPr="00EF1585">
              <w:t>0.010</w:t>
            </w:r>
          </w:p>
        </w:tc>
        <w:tc>
          <w:tcPr>
            <w:tcW w:w="1130" w:type="dxa"/>
            <w:tcBorders>
              <w:top w:val="dotted" w:sz="4" w:space="0" w:color="auto"/>
              <w:left w:val="dotted" w:sz="4" w:space="0" w:color="auto"/>
              <w:bottom w:val="dotted" w:sz="4" w:space="0" w:color="auto"/>
              <w:right w:val="dotted" w:sz="4" w:space="0" w:color="auto"/>
            </w:tcBorders>
          </w:tcPr>
          <w:p w14:paraId="0F7D3BBB" w14:textId="77777777" w:rsidR="00756D68" w:rsidRPr="00774F17" w:rsidRDefault="00756D68" w:rsidP="00756D68">
            <w:pPr>
              <w:pStyle w:val="Normal1"/>
              <w:jc w:val="center"/>
              <w:rPr>
                <w:szCs w:val="20"/>
              </w:rPr>
            </w:pPr>
            <w:r w:rsidRPr="00EF1585">
              <w:t>-0.006</w:t>
            </w:r>
          </w:p>
        </w:tc>
        <w:tc>
          <w:tcPr>
            <w:tcW w:w="1194" w:type="dxa"/>
            <w:tcBorders>
              <w:top w:val="dotted" w:sz="4" w:space="0" w:color="auto"/>
              <w:left w:val="dotted" w:sz="4" w:space="0" w:color="auto"/>
              <w:bottom w:val="dotted" w:sz="4" w:space="0" w:color="auto"/>
              <w:right w:val="single" w:sz="4" w:space="0" w:color="000000"/>
            </w:tcBorders>
          </w:tcPr>
          <w:p w14:paraId="52691B72" w14:textId="77777777" w:rsidR="00756D68" w:rsidRPr="00774F17" w:rsidRDefault="00756D68" w:rsidP="00756D68">
            <w:pPr>
              <w:pStyle w:val="Normal1"/>
              <w:jc w:val="center"/>
              <w:rPr>
                <w:szCs w:val="20"/>
              </w:rPr>
            </w:pPr>
            <w:r w:rsidRPr="00EF1585">
              <w:t>-0.003</w:t>
            </w:r>
          </w:p>
        </w:tc>
      </w:tr>
      <w:tr w:rsidR="00756D68" w14:paraId="0C2F39B4" w14:textId="77777777" w:rsidTr="006A1C43">
        <w:trPr>
          <w:trHeight w:val="346"/>
        </w:trPr>
        <w:tc>
          <w:tcPr>
            <w:tcW w:w="744" w:type="dxa"/>
            <w:vMerge/>
            <w:tcBorders>
              <w:right w:val="dotted" w:sz="4" w:space="0" w:color="auto"/>
            </w:tcBorders>
            <w:shd w:val="clear" w:color="auto" w:fill="FFFF00"/>
          </w:tcPr>
          <w:p w14:paraId="5AFC3D3B"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bottom"/>
          </w:tcPr>
          <w:p w14:paraId="19C5DA93" w14:textId="15D778D0" w:rsidR="00756D68" w:rsidRPr="002E5705" w:rsidRDefault="006A1C43" w:rsidP="00756D68">
            <w:pPr>
              <w:pStyle w:val="Normal1"/>
              <w:jc w:val="center"/>
              <w:rPr>
                <w:szCs w:val="20"/>
                <w:lang w:val="pl-PL"/>
              </w:rPr>
            </w:pPr>
            <w:r>
              <w:rPr>
                <w:szCs w:val="20"/>
                <w:lang w:val="pl-PL"/>
              </w:rPr>
              <w:t>wieś</w:t>
            </w:r>
          </w:p>
        </w:tc>
        <w:tc>
          <w:tcPr>
            <w:tcW w:w="1044" w:type="dxa"/>
            <w:tcBorders>
              <w:top w:val="dotted" w:sz="4" w:space="0" w:color="auto"/>
              <w:left w:val="dotted" w:sz="4" w:space="0" w:color="auto"/>
              <w:bottom w:val="dotted" w:sz="4" w:space="0" w:color="auto"/>
              <w:right w:val="dotted" w:sz="4" w:space="0" w:color="auto"/>
            </w:tcBorders>
          </w:tcPr>
          <w:p w14:paraId="565F0095" w14:textId="77777777" w:rsidR="00756D68" w:rsidRPr="00774F17" w:rsidRDefault="00756D68" w:rsidP="00756D68">
            <w:pPr>
              <w:pStyle w:val="Normal1"/>
              <w:jc w:val="center"/>
              <w:rPr>
                <w:szCs w:val="20"/>
              </w:rPr>
            </w:pPr>
            <w:r w:rsidRPr="00EF1585">
              <w:t>-0.003</w:t>
            </w:r>
          </w:p>
        </w:tc>
        <w:tc>
          <w:tcPr>
            <w:tcW w:w="1130" w:type="dxa"/>
            <w:tcBorders>
              <w:top w:val="dotted" w:sz="4" w:space="0" w:color="auto"/>
              <w:left w:val="dotted" w:sz="4" w:space="0" w:color="auto"/>
              <w:bottom w:val="dotted" w:sz="4" w:space="0" w:color="auto"/>
              <w:right w:val="dotted" w:sz="4" w:space="0" w:color="auto"/>
            </w:tcBorders>
          </w:tcPr>
          <w:p w14:paraId="15A64366" w14:textId="77777777" w:rsidR="00756D68" w:rsidRPr="00774F17" w:rsidRDefault="00756D68" w:rsidP="00756D68">
            <w:pPr>
              <w:pStyle w:val="Normal1"/>
              <w:jc w:val="center"/>
              <w:rPr>
                <w:szCs w:val="20"/>
              </w:rPr>
            </w:pPr>
            <w:r w:rsidRPr="00EF1585">
              <w:t>-0.000</w:t>
            </w:r>
          </w:p>
        </w:tc>
        <w:tc>
          <w:tcPr>
            <w:tcW w:w="1131" w:type="dxa"/>
            <w:tcBorders>
              <w:top w:val="dotted" w:sz="4" w:space="0" w:color="auto"/>
              <w:left w:val="dotted" w:sz="4" w:space="0" w:color="auto"/>
              <w:bottom w:val="dotted" w:sz="4" w:space="0" w:color="auto"/>
              <w:right w:val="dotted" w:sz="4" w:space="0" w:color="auto"/>
            </w:tcBorders>
          </w:tcPr>
          <w:p w14:paraId="26746FC8" w14:textId="77777777" w:rsidR="00756D68" w:rsidRPr="00774F17" w:rsidRDefault="00756D68" w:rsidP="00756D68">
            <w:pPr>
              <w:pStyle w:val="Normal1"/>
              <w:jc w:val="center"/>
              <w:rPr>
                <w:szCs w:val="20"/>
              </w:rPr>
            </w:pPr>
            <w:r w:rsidRPr="00EF1585">
              <w:t>-0.033***</w:t>
            </w:r>
          </w:p>
        </w:tc>
        <w:tc>
          <w:tcPr>
            <w:tcW w:w="1130" w:type="dxa"/>
            <w:tcBorders>
              <w:top w:val="dotted" w:sz="4" w:space="0" w:color="auto"/>
              <w:left w:val="dotted" w:sz="4" w:space="0" w:color="auto"/>
              <w:bottom w:val="dotted" w:sz="4" w:space="0" w:color="auto"/>
              <w:right w:val="dotted" w:sz="4" w:space="0" w:color="auto"/>
            </w:tcBorders>
          </w:tcPr>
          <w:p w14:paraId="5BF10952" w14:textId="77777777" w:rsidR="00756D68" w:rsidRPr="00774F17" w:rsidRDefault="00756D68" w:rsidP="00756D68">
            <w:pPr>
              <w:pStyle w:val="Normal1"/>
              <w:jc w:val="center"/>
              <w:rPr>
                <w:szCs w:val="20"/>
              </w:rPr>
            </w:pPr>
            <w:r w:rsidRPr="00EF1585">
              <w:t>-0.008**</w:t>
            </w:r>
          </w:p>
        </w:tc>
        <w:tc>
          <w:tcPr>
            <w:tcW w:w="1194" w:type="dxa"/>
            <w:tcBorders>
              <w:top w:val="dotted" w:sz="4" w:space="0" w:color="auto"/>
              <w:left w:val="dotted" w:sz="4" w:space="0" w:color="auto"/>
              <w:bottom w:val="dotted" w:sz="4" w:space="0" w:color="auto"/>
              <w:right w:val="single" w:sz="4" w:space="0" w:color="000000"/>
            </w:tcBorders>
          </w:tcPr>
          <w:p w14:paraId="48FF7B6F" w14:textId="77777777" w:rsidR="00756D68" w:rsidRPr="00774F17" w:rsidRDefault="00756D68" w:rsidP="00756D68">
            <w:pPr>
              <w:pStyle w:val="Normal1"/>
              <w:jc w:val="center"/>
              <w:rPr>
                <w:szCs w:val="20"/>
              </w:rPr>
            </w:pPr>
            <w:r w:rsidRPr="00EF1585">
              <w:t>0.018***</w:t>
            </w:r>
          </w:p>
        </w:tc>
      </w:tr>
      <w:tr w:rsidR="00756D68" w14:paraId="7844AAC1" w14:textId="77777777" w:rsidTr="006A1C43">
        <w:trPr>
          <w:trHeight w:val="346"/>
        </w:trPr>
        <w:tc>
          <w:tcPr>
            <w:tcW w:w="744" w:type="dxa"/>
            <w:vMerge w:val="restart"/>
            <w:tcBorders>
              <w:right w:val="dotted" w:sz="4" w:space="0" w:color="auto"/>
            </w:tcBorders>
            <w:shd w:val="clear" w:color="auto" w:fill="FFFF00"/>
            <w:textDirection w:val="btLr"/>
          </w:tcPr>
          <w:p w14:paraId="0AC562D8" w14:textId="657025E8" w:rsidR="00756D68" w:rsidRPr="006A1C43" w:rsidRDefault="00961F49" w:rsidP="00756D68">
            <w:pPr>
              <w:pStyle w:val="Normal1"/>
              <w:ind w:left="113" w:right="113"/>
              <w:jc w:val="center"/>
              <w:rPr>
                <w:b/>
                <w:szCs w:val="20"/>
                <w:lang w:val="pl-PL"/>
              </w:rPr>
            </w:pPr>
            <w:r w:rsidRPr="006A1C43">
              <w:rPr>
                <w:b/>
                <w:szCs w:val="20"/>
                <w:lang w:val="pl-PL"/>
              </w:rPr>
              <w:t>okres budowy</w:t>
            </w:r>
          </w:p>
        </w:tc>
        <w:tc>
          <w:tcPr>
            <w:tcW w:w="8055" w:type="dxa"/>
            <w:gridSpan w:val="6"/>
            <w:tcBorders>
              <w:top w:val="dotted" w:sz="4" w:space="0" w:color="auto"/>
              <w:left w:val="dotted" w:sz="4" w:space="0" w:color="auto"/>
              <w:bottom w:val="dotted" w:sz="4" w:space="0" w:color="auto"/>
              <w:right w:val="single" w:sz="4" w:space="0" w:color="000000"/>
            </w:tcBorders>
            <w:shd w:val="clear" w:color="auto" w:fill="D9D9D9" w:themeFill="background1" w:themeFillShade="D9"/>
            <w:vAlign w:val="bottom"/>
          </w:tcPr>
          <w:p w14:paraId="516DB1A3" w14:textId="77777777" w:rsidR="00756D68" w:rsidRPr="00AD3D8C" w:rsidRDefault="00756D68" w:rsidP="00756D68">
            <w:pPr>
              <w:pStyle w:val="Normal1"/>
              <w:jc w:val="left"/>
              <w:rPr>
                <w:szCs w:val="20"/>
              </w:rPr>
            </w:pPr>
            <w:r w:rsidRPr="00AD3D8C">
              <w:rPr>
                <w:szCs w:val="20"/>
              </w:rPr>
              <w:t>REF: 1961-1980</w:t>
            </w:r>
          </w:p>
        </w:tc>
      </w:tr>
      <w:tr w:rsidR="00756D68" w14:paraId="3264B11C" w14:textId="77777777" w:rsidTr="006A1C43">
        <w:trPr>
          <w:trHeight w:val="346"/>
        </w:trPr>
        <w:tc>
          <w:tcPr>
            <w:tcW w:w="744" w:type="dxa"/>
            <w:vMerge/>
            <w:tcBorders>
              <w:right w:val="dotted" w:sz="4" w:space="0" w:color="auto"/>
            </w:tcBorders>
            <w:shd w:val="clear" w:color="auto" w:fill="FFFF00"/>
          </w:tcPr>
          <w:p w14:paraId="7D57A792"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bottom"/>
          </w:tcPr>
          <w:p w14:paraId="26C476D0" w14:textId="3A70BC53" w:rsidR="00756D68" w:rsidRPr="002E5705" w:rsidRDefault="002E5705" w:rsidP="00756D68">
            <w:pPr>
              <w:pStyle w:val="Normal1"/>
              <w:jc w:val="center"/>
              <w:rPr>
                <w:szCs w:val="20"/>
                <w:lang w:val="pl-PL"/>
              </w:rPr>
            </w:pPr>
            <w:r w:rsidRPr="002E5705">
              <w:rPr>
                <w:color w:val="000000"/>
                <w:szCs w:val="20"/>
                <w:lang w:val="pl-PL"/>
              </w:rPr>
              <w:t>przed 1946 r.</w:t>
            </w:r>
          </w:p>
        </w:tc>
        <w:tc>
          <w:tcPr>
            <w:tcW w:w="1044" w:type="dxa"/>
            <w:tcBorders>
              <w:top w:val="dotted" w:sz="4" w:space="0" w:color="auto"/>
              <w:left w:val="dotted" w:sz="4" w:space="0" w:color="auto"/>
              <w:bottom w:val="dotted" w:sz="4" w:space="0" w:color="auto"/>
              <w:right w:val="dotted" w:sz="4" w:space="0" w:color="auto"/>
            </w:tcBorders>
          </w:tcPr>
          <w:p w14:paraId="5A0EDD42" w14:textId="77777777" w:rsidR="00756D68" w:rsidRPr="00AD3D8C" w:rsidRDefault="00756D68" w:rsidP="00756D68">
            <w:pPr>
              <w:pStyle w:val="Normal1"/>
              <w:jc w:val="center"/>
              <w:rPr>
                <w:szCs w:val="20"/>
              </w:rPr>
            </w:pPr>
            <w:r w:rsidRPr="00B26333">
              <w:t>-0.001</w:t>
            </w:r>
          </w:p>
        </w:tc>
        <w:tc>
          <w:tcPr>
            <w:tcW w:w="1130" w:type="dxa"/>
            <w:tcBorders>
              <w:top w:val="dotted" w:sz="4" w:space="0" w:color="auto"/>
              <w:left w:val="dotted" w:sz="4" w:space="0" w:color="auto"/>
              <w:bottom w:val="dotted" w:sz="4" w:space="0" w:color="auto"/>
              <w:right w:val="dotted" w:sz="4" w:space="0" w:color="auto"/>
            </w:tcBorders>
          </w:tcPr>
          <w:p w14:paraId="074B02B3" w14:textId="77777777" w:rsidR="00756D68" w:rsidRPr="00AD3D8C" w:rsidRDefault="00756D68" w:rsidP="00756D68">
            <w:pPr>
              <w:pStyle w:val="Normal1"/>
              <w:jc w:val="center"/>
              <w:rPr>
                <w:szCs w:val="20"/>
              </w:rPr>
            </w:pPr>
            <w:r w:rsidRPr="00B26333">
              <w:t>-0.003</w:t>
            </w:r>
          </w:p>
        </w:tc>
        <w:tc>
          <w:tcPr>
            <w:tcW w:w="1131" w:type="dxa"/>
            <w:tcBorders>
              <w:top w:val="dotted" w:sz="4" w:space="0" w:color="auto"/>
              <w:left w:val="dotted" w:sz="4" w:space="0" w:color="auto"/>
              <w:bottom w:val="dotted" w:sz="4" w:space="0" w:color="auto"/>
              <w:right w:val="dotted" w:sz="4" w:space="0" w:color="auto"/>
            </w:tcBorders>
          </w:tcPr>
          <w:p w14:paraId="63B338B5" w14:textId="77777777" w:rsidR="00756D68" w:rsidRPr="00AD3D8C" w:rsidRDefault="00756D68" w:rsidP="00756D68">
            <w:pPr>
              <w:pStyle w:val="Normal1"/>
              <w:jc w:val="center"/>
              <w:rPr>
                <w:szCs w:val="20"/>
              </w:rPr>
            </w:pPr>
            <w:r w:rsidRPr="00B26333">
              <w:t>0.002</w:t>
            </w:r>
          </w:p>
        </w:tc>
        <w:tc>
          <w:tcPr>
            <w:tcW w:w="1130" w:type="dxa"/>
            <w:tcBorders>
              <w:top w:val="dotted" w:sz="4" w:space="0" w:color="auto"/>
              <w:left w:val="dotted" w:sz="4" w:space="0" w:color="auto"/>
              <w:bottom w:val="dotted" w:sz="4" w:space="0" w:color="auto"/>
              <w:right w:val="dotted" w:sz="4" w:space="0" w:color="auto"/>
            </w:tcBorders>
          </w:tcPr>
          <w:p w14:paraId="6D9373FC" w14:textId="77777777" w:rsidR="00756D68" w:rsidRPr="00557AB5" w:rsidRDefault="00756D68" w:rsidP="00756D68">
            <w:pPr>
              <w:pStyle w:val="Normal1"/>
              <w:jc w:val="center"/>
              <w:rPr>
                <w:szCs w:val="20"/>
              </w:rPr>
            </w:pPr>
            <w:r w:rsidRPr="00B26333">
              <w:t>0.008***</w:t>
            </w:r>
          </w:p>
        </w:tc>
        <w:tc>
          <w:tcPr>
            <w:tcW w:w="1194" w:type="dxa"/>
            <w:tcBorders>
              <w:top w:val="dotted" w:sz="4" w:space="0" w:color="auto"/>
              <w:left w:val="dotted" w:sz="4" w:space="0" w:color="auto"/>
              <w:bottom w:val="dotted" w:sz="4" w:space="0" w:color="auto"/>
              <w:right w:val="single" w:sz="4" w:space="0" w:color="000000"/>
            </w:tcBorders>
          </w:tcPr>
          <w:p w14:paraId="4CD56A88" w14:textId="77777777" w:rsidR="00756D68" w:rsidRPr="00557AB5" w:rsidRDefault="00756D68" w:rsidP="00756D68">
            <w:pPr>
              <w:pStyle w:val="Normal1"/>
              <w:jc w:val="center"/>
              <w:rPr>
                <w:szCs w:val="20"/>
              </w:rPr>
            </w:pPr>
            <w:r w:rsidRPr="00B26333">
              <w:t>0.033***</w:t>
            </w:r>
          </w:p>
        </w:tc>
      </w:tr>
      <w:tr w:rsidR="00756D68" w14:paraId="2D723489" w14:textId="77777777" w:rsidTr="006A1C43">
        <w:trPr>
          <w:trHeight w:val="346"/>
        </w:trPr>
        <w:tc>
          <w:tcPr>
            <w:tcW w:w="744" w:type="dxa"/>
            <w:vMerge/>
            <w:tcBorders>
              <w:right w:val="dotted" w:sz="4" w:space="0" w:color="auto"/>
            </w:tcBorders>
            <w:shd w:val="clear" w:color="auto" w:fill="FFFF00"/>
          </w:tcPr>
          <w:p w14:paraId="5BEB4082"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bottom"/>
          </w:tcPr>
          <w:p w14:paraId="6B16A40D" w14:textId="77777777" w:rsidR="00756D68" w:rsidRPr="002E5705" w:rsidRDefault="00756D68" w:rsidP="00756D68">
            <w:pPr>
              <w:pStyle w:val="Normal1"/>
              <w:jc w:val="center"/>
              <w:rPr>
                <w:szCs w:val="20"/>
                <w:lang w:val="pl-PL"/>
              </w:rPr>
            </w:pPr>
            <w:r w:rsidRPr="002E5705">
              <w:rPr>
                <w:szCs w:val="20"/>
                <w:lang w:val="pl-PL"/>
              </w:rPr>
              <w:t>1946-1960</w:t>
            </w:r>
          </w:p>
        </w:tc>
        <w:tc>
          <w:tcPr>
            <w:tcW w:w="1044" w:type="dxa"/>
            <w:tcBorders>
              <w:top w:val="dotted" w:sz="4" w:space="0" w:color="auto"/>
              <w:left w:val="dotted" w:sz="4" w:space="0" w:color="auto"/>
              <w:bottom w:val="dotted" w:sz="4" w:space="0" w:color="auto"/>
              <w:right w:val="dotted" w:sz="4" w:space="0" w:color="auto"/>
            </w:tcBorders>
          </w:tcPr>
          <w:p w14:paraId="5EA064FB" w14:textId="77777777" w:rsidR="00756D68" w:rsidRPr="00AD3D8C" w:rsidRDefault="00756D68" w:rsidP="00756D68">
            <w:pPr>
              <w:pStyle w:val="Normal1"/>
              <w:jc w:val="center"/>
              <w:rPr>
                <w:szCs w:val="20"/>
              </w:rPr>
            </w:pPr>
            <w:r w:rsidRPr="00B26333">
              <w:t>0.002</w:t>
            </w:r>
          </w:p>
        </w:tc>
        <w:tc>
          <w:tcPr>
            <w:tcW w:w="1130" w:type="dxa"/>
            <w:tcBorders>
              <w:top w:val="dotted" w:sz="4" w:space="0" w:color="auto"/>
              <w:left w:val="dotted" w:sz="4" w:space="0" w:color="auto"/>
              <w:bottom w:val="dotted" w:sz="4" w:space="0" w:color="auto"/>
              <w:right w:val="dotted" w:sz="4" w:space="0" w:color="auto"/>
            </w:tcBorders>
          </w:tcPr>
          <w:p w14:paraId="4A4EDE81" w14:textId="77777777" w:rsidR="00756D68" w:rsidRPr="00AD3D8C" w:rsidRDefault="00756D68" w:rsidP="00756D68">
            <w:pPr>
              <w:pStyle w:val="Normal1"/>
              <w:jc w:val="center"/>
              <w:rPr>
                <w:szCs w:val="20"/>
              </w:rPr>
            </w:pPr>
            <w:r w:rsidRPr="00B26333">
              <w:t>0.001</w:t>
            </w:r>
          </w:p>
        </w:tc>
        <w:tc>
          <w:tcPr>
            <w:tcW w:w="1131" w:type="dxa"/>
            <w:tcBorders>
              <w:top w:val="dotted" w:sz="4" w:space="0" w:color="auto"/>
              <w:left w:val="dotted" w:sz="4" w:space="0" w:color="auto"/>
              <w:bottom w:val="dotted" w:sz="4" w:space="0" w:color="auto"/>
              <w:right w:val="dotted" w:sz="4" w:space="0" w:color="auto"/>
            </w:tcBorders>
          </w:tcPr>
          <w:p w14:paraId="4EBAD53A" w14:textId="77777777" w:rsidR="00756D68" w:rsidRPr="00AD3D8C" w:rsidRDefault="00756D68" w:rsidP="00756D68">
            <w:pPr>
              <w:pStyle w:val="Normal1"/>
              <w:jc w:val="center"/>
              <w:rPr>
                <w:szCs w:val="20"/>
              </w:rPr>
            </w:pPr>
            <w:r w:rsidRPr="00B26333">
              <w:t>-0.008</w:t>
            </w:r>
          </w:p>
        </w:tc>
        <w:tc>
          <w:tcPr>
            <w:tcW w:w="1130" w:type="dxa"/>
            <w:tcBorders>
              <w:top w:val="dotted" w:sz="4" w:space="0" w:color="auto"/>
              <w:left w:val="dotted" w:sz="4" w:space="0" w:color="auto"/>
              <w:bottom w:val="dotted" w:sz="4" w:space="0" w:color="auto"/>
              <w:right w:val="dotted" w:sz="4" w:space="0" w:color="auto"/>
            </w:tcBorders>
          </w:tcPr>
          <w:p w14:paraId="7092EE28" w14:textId="77777777" w:rsidR="00756D68" w:rsidRPr="00557AB5" w:rsidRDefault="00756D68" w:rsidP="00756D68">
            <w:pPr>
              <w:pStyle w:val="Normal1"/>
              <w:jc w:val="center"/>
              <w:rPr>
                <w:szCs w:val="20"/>
              </w:rPr>
            </w:pPr>
            <w:r w:rsidRPr="00B26333">
              <w:t>-0.002</w:t>
            </w:r>
          </w:p>
        </w:tc>
        <w:tc>
          <w:tcPr>
            <w:tcW w:w="1194" w:type="dxa"/>
            <w:tcBorders>
              <w:top w:val="dotted" w:sz="4" w:space="0" w:color="auto"/>
              <w:left w:val="dotted" w:sz="4" w:space="0" w:color="auto"/>
              <w:bottom w:val="dotted" w:sz="4" w:space="0" w:color="auto"/>
              <w:right w:val="single" w:sz="4" w:space="0" w:color="000000"/>
            </w:tcBorders>
          </w:tcPr>
          <w:p w14:paraId="4FC75770" w14:textId="77777777" w:rsidR="00756D68" w:rsidRPr="00557AB5" w:rsidRDefault="00756D68" w:rsidP="00756D68">
            <w:pPr>
              <w:pStyle w:val="Normal1"/>
              <w:jc w:val="center"/>
              <w:rPr>
                <w:szCs w:val="20"/>
              </w:rPr>
            </w:pPr>
            <w:r w:rsidRPr="00B26333">
              <w:t>-0.040***</w:t>
            </w:r>
          </w:p>
        </w:tc>
      </w:tr>
      <w:tr w:rsidR="00756D68" w14:paraId="3B82B688" w14:textId="77777777" w:rsidTr="006A1C43">
        <w:trPr>
          <w:trHeight w:val="346"/>
        </w:trPr>
        <w:tc>
          <w:tcPr>
            <w:tcW w:w="744" w:type="dxa"/>
            <w:vMerge/>
            <w:tcBorders>
              <w:right w:val="dotted" w:sz="4" w:space="0" w:color="auto"/>
            </w:tcBorders>
            <w:shd w:val="clear" w:color="auto" w:fill="FFFF00"/>
          </w:tcPr>
          <w:p w14:paraId="1156453D"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bottom"/>
          </w:tcPr>
          <w:p w14:paraId="35AAE3FE" w14:textId="77777777" w:rsidR="00756D68" w:rsidRPr="002E5705" w:rsidRDefault="00756D68" w:rsidP="00756D68">
            <w:pPr>
              <w:pStyle w:val="Normal1"/>
              <w:jc w:val="center"/>
              <w:rPr>
                <w:szCs w:val="20"/>
                <w:lang w:val="pl-PL"/>
              </w:rPr>
            </w:pPr>
            <w:r w:rsidRPr="002E5705">
              <w:rPr>
                <w:szCs w:val="20"/>
                <w:lang w:val="pl-PL"/>
              </w:rPr>
              <w:t>1981-1995</w:t>
            </w:r>
          </w:p>
        </w:tc>
        <w:tc>
          <w:tcPr>
            <w:tcW w:w="1044" w:type="dxa"/>
            <w:tcBorders>
              <w:top w:val="dotted" w:sz="4" w:space="0" w:color="auto"/>
              <w:left w:val="dotted" w:sz="4" w:space="0" w:color="auto"/>
              <w:bottom w:val="dotted" w:sz="4" w:space="0" w:color="auto"/>
              <w:right w:val="dotted" w:sz="4" w:space="0" w:color="auto"/>
            </w:tcBorders>
          </w:tcPr>
          <w:p w14:paraId="77F94EE7" w14:textId="77777777" w:rsidR="00756D68" w:rsidRPr="00AD3D8C" w:rsidRDefault="00756D68" w:rsidP="00756D68">
            <w:pPr>
              <w:pStyle w:val="Normal1"/>
              <w:jc w:val="center"/>
              <w:rPr>
                <w:szCs w:val="20"/>
              </w:rPr>
            </w:pPr>
            <w:r w:rsidRPr="00B26333">
              <w:t>-0.002</w:t>
            </w:r>
          </w:p>
        </w:tc>
        <w:tc>
          <w:tcPr>
            <w:tcW w:w="1130" w:type="dxa"/>
            <w:tcBorders>
              <w:top w:val="dotted" w:sz="4" w:space="0" w:color="auto"/>
              <w:left w:val="dotted" w:sz="4" w:space="0" w:color="auto"/>
              <w:bottom w:val="dotted" w:sz="4" w:space="0" w:color="auto"/>
              <w:right w:val="dotted" w:sz="4" w:space="0" w:color="auto"/>
            </w:tcBorders>
          </w:tcPr>
          <w:p w14:paraId="3254E6A2" w14:textId="77777777" w:rsidR="00756D68" w:rsidRPr="00AD3D8C" w:rsidRDefault="00756D68" w:rsidP="00756D68">
            <w:pPr>
              <w:pStyle w:val="Normal1"/>
              <w:jc w:val="center"/>
              <w:rPr>
                <w:szCs w:val="20"/>
              </w:rPr>
            </w:pPr>
            <w:r w:rsidRPr="00B26333">
              <w:t>-0.006***</w:t>
            </w:r>
          </w:p>
        </w:tc>
        <w:tc>
          <w:tcPr>
            <w:tcW w:w="1131" w:type="dxa"/>
            <w:tcBorders>
              <w:top w:val="dotted" w:sz="4" w:space="0" w:color="auto"/>
              <w:left w:val="dotted" w:sz="4" w:space="0" w:color="auto"/>
              <w:bottom w:val="dotted" w:sz="4" w:space="0" w:color="auto"/>
              <w:right w:val="dotted" w:sz="4" w:space="0" w:color="auto"/>
            </w:tcBorders>
          </w:tcPr>
          <w:p w14:paraId="7E20B249" w14:textId="77777777" w:rsidR="00756D68" w:rsidRPr="00AD3D8C" w:rsidRDefault="00756D68" w:rsidP="00756D68">
            <w:pPr>
              <w:pStyle w:val="Normal1"/>
              <w:jc w:val="center"/>
              <w:rPr>
                <w:szCs w:val="20"/>
              </w:rPr>
            </w:pPr>
            <w:r w:rsidRPr="00B26333">
              <w:t>-0.008</w:t>
            </w:r>
          </w:p>
        </w:tc>
        <w:tc>
          <w:tcPr>
            <w:tcW w:w="1130" w:type="dxa"/>
            <w:tcBorders>
              <w:top w:val="dotted" w:sz="4" w:space="0" w:color="auto"/>
              <w:left w:val="dotted" w:sz="4" w:space="0" w:color="auto"/>
              <w:bottom w:val="dotted" w:sz="4" w:space="0" w:color="auto"/>
              <w:right w:val="dotted" w:sz="4" w:space="0" w:color="auto"/>
            </w:tcBorders>
          </w:tcPr>
          <w:p w14:paraId="476487C4" w14:textId="77777777" w:rsidR="00756D68" w:rsidRPr="00557AB5" w:rsidRDefault="00756D68" w:rsidP="00756D68">
            <w:pPr>
              <w:pStyle w:val="Normal1"/>
              <w:jc w:val="center"/>
              <w:rPr>
                <w:szCs w:val="20"/>
              </w:rPr>
            </w:pPr>
            <w:r w:rsidRPr="00B26333">
              <w:t>-0.007*</w:t>
            </w:r>
          </w:p>
        </w:tc>
        <w:tc>
          <w:tcPr>
            <w:tcW w:w="1194" w:type="dxa"/>
            <w:tcBorders>
              <w:top w:val="dotted" w:sz="4" w:space="0" w:color="auto"/>
              <w:left w:val="dotted" w:sz="4" w:space="0" w:color="auto"/>
              <w:bottom w:val="dotted" w:sz="4" w:space="0" w:color="auto"/>
              <w:right w:val="single" w:sz="4" w:space="0" w:color="000000"/>
            </w:tcBorders>
          </w:tcPr>
          <w:p w14:paraId="76B93DBF" w14:textId="77777777" w:rsidR="00756D68" w:rsidRPr="00557AB5" w:rsidRDefault="00756D68" w:rsidP="00756D68">
            <w:pPr>
              <w:pStyle w:val="Normal1"/>
              <w:jc w:val="center"/>
              <w:rPr>
                <w:szCs w:val="20"/>
              </w:rPr>
            </w:pPr>
            <w:r w:rsidRPr="00B26333">
              <w:t>-0.064***</w:t>
            </w:r>
          </w:p>
        </w:tc>
      </w:tr>
      <w:tr w:rsidR="00756D68" w14:paraId="60B45808" w14:textId="77777777" w:rsidTr="006A1C43">
        <w:trPr>
          <w:trHeight w:val="346"/>
        </w:trPr>
        <w:tc>
          <w:tcPr>
            <w:tcW w:w="744" w:type="dxa"/>
            <w:vMerge/>
            <w:tcBorders>
              <w:right w:val="dotted" w:sz="4" w:space="0" w:color="auto"/>
            </w:tcBorders>
            <w:shd w:val="clear" w:color="auto" w:fill="FFFF00"/>
          </w:tcPr>
          <w:p w14:paraId="20A159D9"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bottom"/>
          </w:tcPr>
          <w:p w14:paraId="69009686" w14:textId="77777777" w:rsidR="00756D68" w:rsidRPr="002E5705" w:rsidRDefault="00756D68" w:rsidP="00756D68">
            <w:pPr>
              <w:pStyle w:val="Normal1"/>
              <w:jc w:val="center"/>
              <w:rPr>
                <w:szCs w:val="20"/>
                <w:lang w:val="pl-PL"/>
              </w:rPr>
            </w:pPr>
            <w:r w:rsidRPr="002E5705">
              <w:rPr>
                <w:szCs w:val="20"/>
                <w:lang w:val="pl-PL"/>
              </w:rPr>
              <w:t>1996-2007</w:t>
            </w:r>
          </w:p>
        </w:tc>
        <w:tc>
          <w:tcPr>
            <w:tcW w:w="1044" w:type="dxa"/>
            <w:tcBorders>
              <w:top w:val="dotted" w:sz="4" w:space="0" w:color="auto"/>
              <w:left w:val="dotted" w:sz="4" w:space="0" w:color="auto"/>
              <w:bottom w:val="dotted" w:sz="4" w:space="0" w:color="auto"/>
              <w:right w:val="dotted" w:sz="4" w:space="0" w:color="auto"/>
            </w:tcBorders>
          </w:tcPr>
          <w:p w14:paraId="569B7177" w14:textId="77777777" w:rsidR="00756D68" w:rsidRPr="00AD3D8C" w:rsidRDefault="00756D68" w:rsidP="00756D68">
            <w:pPr>
              <w:pStyle w:val="Normal1"/>
              <w:jc w:val="center"/>
              <w:rPr>
                <w:szCs w:val="20"/>
              </w:rPr>
            </w:pPr>
            <w:r w:rsidRPr="00B26333">
              <w:t>-0.049***</w:t>
            </w:r>
          </w:p>
        </w:tc>
        <w:tc>
          <w:tcPr>
            <w:tcW w:w="1130" w:type="dxa"/>
            <w:tcBorders>
              <w:top w:val="dotted" w:sz="4" w:space="0" w:color="auto"/>
              <w:left w:val="dotted" w:sz="4" w:space="0" w:color="auto"/>
              <w:bottom w:val="dotted" w:sz="4" w:space="0" w:color="auto"/>
              <w:right w:val="dotted" w:sz="4" w:space="0" w:color="auto"/>
            </w:tcBorders>
          </w:tcPr>
          <w:p w14:paraId="245CB374" w14:textId="77777777" w:rsidR="00756D68" w:rsidRPr="00AD3D8C" w:rsidRDefault="00756D68" w:rsidP="00756D68">
            <w:pPr>
              <w:pStyle w:val="Normal1"/>
              <w:jc w:val="center"/>
              <w:rPr>
                <w:szCs w:val="20"/>
              </w:rPr>
            </w:pPr>
            <w:r w:rsidRPr="00B26333">
              <w:t>-0.014***</w:t>
            </w:r>
          </w:p>
        </w:tc>
        <w:tc>
          <w:tcPr>
            <w:tcW w:w="1131" w:type="dxa"/>
            <w:tcBorders>
              <w:top w:val="dotted" w:sz="4" w:space="0" w:color="auto"/>
              <w:left w:val="dotted" w:sz="4" w:space="0" w:color="auto"/>
              <w:bottom w:val="dotted" w:sz="4" w:space="0" w:color="auto"/>
              <w:right w:val="dotted" w:sz="4" w:space="0" w:color="auto"/>
            </w:tcBorders>
          </w:tcPr>
          <w:p w14:paraId="135D3F16" w14:textId="77777777" w:rsidR="00756D68" w:rsidRPr="00AD3D8C" w:rsidRDefault="00756D68" w:rsidP="00756D68">
            <w:pPr>
              <w:pStyle w:val="Normal1"/>
              <w:jc w:val="center"/>
              <w:rPr>
                <w:szCs w:val="20"/>
              </w:rPr>
            </w:pPr>
            <w:r w:rsidRPr="00B26333">
              <w:t>-0.015</w:t>
            </w:r>
          </w:p>
        </w:tc>
        <w:tc>
          <w:tcPr>
            <w:tcW w:w="1130" w:type="dxa"/>
            <w:tcBorders>
              <w:top w:val="dotted" w:sz="4" w:space="0" w:color="auto"/>
              <w:left w:val="dotted" w:sz="4" w:space="0" w:color="auto"/>
              <w:bottom w:val="dotted" w:sz="4" w:space="0" w:color="auto"/>
              <w:right w:val="dotted" w:sz="4" w:space="0" w:color="auto"/>
            </w:tcBorders>
          </w:tcPr>
          <w:p w14:paraId="7B49EF94" w14:textId="77777777" w:rsidR="00756D68" w:rsidRPr="00557AB5" w:rsidRDefault="00756D68" w:rsidP="00756D68">
            <w:pPr>
              <w:pStyle w:val="Normal1"/>
              <w:jc w:val="center"/>
              <w:rPr>
                <w:szCs w:val="20"/>
              </w:rPr>
            </w:pPr>
            <w:r w:rsidRPr="00B26333">
              <w:t>-0.016***</w:t>
            </w:r>
          </w:p>
        </w:tc>
        <w:tc>
          <w:tcPr>
            <w:tcW w:w="1194" w:type="dxa"/>
            <w:tcBorders>
              <w:top w:val="dotted" w:sz="4" w:space="0" w:color="auto"/>
              <w:left w:val="dotted" w:sz="4" w:space="0" w:color="auto"/>
              <w:bottom w:val="dotted" w:sz="4" w:space="0" w:color="auto"/>
              <w:right w:val="single" w:sz="4" w:space="0" w:color="000000"/>
            </w:tcBorders>
          </w:tcPr>
          <w:p w14:paraId="5E78F0A2" w14:textId="77777777" w:rsidR="00756D68" w:rsidRPr="00557AB5" w:rsidRDefault="00756D68" w:rsidP="00756D68">
            <w:pPr>
              <w:pStyle w:val="Normal1"/>
              <w:jc w:val="center"/>
              <w:rPr>
                <w:szCs w:val="20"/>
              </w:rPr>
            </w:pPr>
            <w:r w:rsidRPr="00B26333">
              <w:t>-0.134***</w:t>
            </w:r>
          </w:p>
        </w:tc>
      </w:tr>
      <w:tr w:rsidR="00756D68" w14:paraId="29C08B63" w14:textId="77777777" w:rsidTr="006A1C43">
        <w:trPr>
          <w:trHeight w:val="346"/>
        </w:trPr>
        <w:tc>
          <w:tcPr>
            <w:tcW w:w="744" w:type="dxa"/>
            <w:vMerge/>
            <w:tcBorders>
              <w:right w:val="dotted" w:sz="4" w:space="0" w:color="auto"/>
            </w:tcBorders>
            <w:shd w:val="clear" w:color="auto" w:fill="FFFF00"/>
          </w:tcPr>
          <w:p w14:paraId="01A21B4E"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bottom"/>
          </w:tcPr>
          <w:p w14:paraId="42FE1E22" w14:textId="127A2620" w:rsidR="00756D68" w:rsidRPr="002E5705" w:rsidRDefault="002E5705" w:rsidP="00756D68">
            <w:pPr>
              <w:pStyle w:val="Normal1"/>
              <w:jc w:val="center"/>
              <w:rPr>
                <w:szCs w:val="20"/>
                <w:lang w:val="pl-PL"/>
              </w:rPr>
            </w:pPr>
            <w:r w:rsidRPr="002E5705">
              <w:rPr>
                <w:szCs w:val="20"/>
                <w:lang w:val="pl-PL"/>
              </w:rPr>
              <w:t>po</w:t>
            </w:r>
            <w:r w:rsidR="00756D68" w:rsidRPr="002E5705">
              <w:rPr>
                <w:szCs w:val="20"/>
                <w:lang w:val="pl-PL"/>
              </w:rPr>
              <w:t xml:space="preserve"> 2007 r.</w:t>
            </w:r>
          </w:p>
        </w:tc>
        <w:tc>
          <w:tcPr>
            <w:tcW w:w="1044" w:type="dxa"/>
            <w:tcBorders>
              <w:top w:val="dotted" w:sz="4" w:space="0" w:color="auto"/>
              <w:left w:val="dotted" w:sz="4" w:space="0" w:color="auto"/>
              <w:bottom w:val="dotted" w:sz="4" w:space="0" w:color="auto"/>
              <w:right w:val="dotted" w:sz="4" w:space="0" w:color="auto"/>
            </w:tcBorders>
          </w:tcPr>
          <w:p w14:paraId="29D6CAEE" w14:textId="77777777" w:rsidR="00756D68" w:rsidRPr="00AD3D8C" w:rsidRDefault="00756D68" w:rsidP="00756D68">
            <w:pPr>
              <w:pStyle w:val="Normal1"/>
              <w:jc w:val="center"/>
              <w:rPr>
                <w:szCs w:val="20"/>
              </w:rPr>
            </w:pPr>
            <w:r w:rsidRPr="00B26333">
              <w:t>-0.087***</w:t>
            </w:r>
          </w:p>
        </w:tc>
        <w:tc>
          <w:tcPr>
            <w:tcW w:w="1130" w:type="dxa"/>
            <w:tcBorders>
              <w:top w:val="dotted" w:sz="4" w:space="0" w:color="auto"/>
              <w:left w:val="dotted" w:sz="4" w:space="0" w:color="auto"/>
              <w:bottom w:val="dotted" w:sz="4" w:space="0" w:color="auto"/>
              <w:right w:val="dotted" w:sz="4" w:space="0" w:color="auto"/>
            </w:tcBorders>
          </w:tcPr>
          <w:p w14:paraId="3033E3D4" w14:textId="77777777" w:rsidR="00756D68" w:rsidRPr="00AD3D8C" w:rsidRDefault="00756D68" w:rsidP="00756D68">
            <w:pPr>
              <w:pStyle w:val="Normal1"/>
              <w:jc w:val="center"/>
              <w:rPr>
                <w:szCs w:val="20"/>
              </w:rPr>
            </w:pPr>
            <w:r w:rsidRPr="00B26333">
              <w:t>-0.021***</w:t>
            </w:r>
          </w:p>
        </w:tc>
        <w:tc>
          <w:tcPr>
            <w:tcW w:w="1131" w:type="dxa"/>
            <w:tcBorders>
              <w:top w:val="dotted" w:sz="4" w:space="0" w:color="auto"/>
              <w:left w:val="dotted" w:sz="4" w:space="0" w:color="auto"/>
              <w:bottom w:val="dotted" w:sz="4" w:space="0" w:color="auto"/>
              <w:right w:val="dotted" w:sz="4" w:space="0" w:color="auto"/>
            </w:tcBorders>
          </w:tcPr>
          <w:p w14:paraId="51B80DE9" w14:textId="77777777" w:rsidR="00756D68" w:rsidRPr="00AD3D8C" w:rsidRDefault="00756D68" w:rsidP="00756D68">
            <w:pPr>
              <w:pStyle w:val="Normal1"/>
              <w:jc w:val="center"/>
              <w:rPr>
                <w:szCs w:val="20"/>
              </w:rPr>
            </w:pPr>
            <w:r w:rsidRPr="00B26333">
              <w:t>-0.034***</w:t>
            </w:r>
          </w:p>
        </w:tc>
        <w:tc>
          <w:tcPr>
            <w:tcW w:w="1130" w:type="dxa"/>
            <w:tcBorders>
              <w:top w:val="dotted" w:sz="4" w:space="0" w:color="auto"/>
              <w:left w:val="dotted" w:sz="4" w:space="0" w:color="auto"/>
              <w:bottom w:val="dotted" w:sz="4" w:space="0" w:color="auto"/>
              <w:right w:val="dotted" w:sz="4" w:space="0" w:color="auto"/>
            </w:tcBorders>
          </w:tcPr>
          <w:p w14:paraId="1CFA91F1" w14:textId="77777777" w:rsidR="00756D68" w:rsidRPr="00557AB5" w:rsidRDefault="00756D68" w:rsidP="00756D68">
            <w:pPr>
              <w:pStyle w:val="Normal1"/>
              <w:jc w:val="center"/>
              <w:rPr>
                <w:szCs w:val="20"/>
              </w:rPr>
            </w:pPr>
            <w:r w:rsidRPr="00B26333">
              <w:t>-0.009</w:t>
            </w:r>
          </w:p>
        </w:tc>
        <w:tc>
          <w:tcPr>
            <w:tcW w:w="1194" w:type="dxa"/>
            <w:tcBorders>
              <w:top w:val="dotted" w:sz="4" w:space="0" w:color="auto"/>
              <w:left w:val="dotted" w:sz="4" w:space="0" w:color="auto"/>
              <w:bottom w:val="dotted" w:sz="4" w:space="0" w:color="auto"/>
              <w:right w:val="single" w:sz="4" w:space="0" w:color="000000"/>
            </w:tcBorders>
          </w:tcPr>
          <w:p w14:paraId="53BD8C69" w14:textId="77777777" w:rsidR="00756D68" w:rsidRPr="00557AB5" w:rsidRDefault="00756D68" w:rsidP="00756D68">
            <w:pPr>
              <w:pStyle w:val="Normal1"/>
              <w:jc w:val="center"/>
              <w:rPr>
                <w:szCs w:val="20"/>
              </w:rPr>
            </w:pPr>
            <w:r w:rsidRPr="00B26333">
              <w:t>-0.154***</w:t>
            </w:r>
          </w:p>
        </w:tc>
      </w:tr>
      <w:tr w:rsidR="00756D68" w14:paraId="20BE8A43" w14:textId="77777777" w:rsidTr="006A1C43">
        <w:trPr>
          <w:trHeight w:val="346"/>
        </w:trPr>
        <w:tc>
          <w:tcPr>
            <w:tcW w:w="744" w:type="dxa"/>
            <w:vMerge w:val="restart"/>
            <w:tcBorders>
              <w:right w:val="dotted" w:sz="4" w:space="0" w:color="auto"/>
            </w:tcBorders>
            <w:shd w:val="clear" w:color="auto" w:fill="FFFF00"/>
            <w:textDirection w:val="btLr"/>
          </w:tcPr>
          <w:p w14:paraId="5AB01660" w14:textId="6BE72741" w:rsidR="00756D68" w:rsidRPr="00961F49" w:rsidRDefault="00961F49" w:rsidP="00756D68">
            <w:pPr>
              <w:pStyle w:val="Normal1"/>
              <w:ind w:left="113" w:right="113"/>
              <w:jc w:val="center"/>
              <w:rPr>
                <w:b/>
                <w:szCs w:val="20"/>
                <w:lang w:val="pl-PL"/>
              </w:rPr>
            </w:pPr>
            <w:r w:rsidRPr="00961F49">
              <w:rPr>
                <w:b/>
                <w:szCs w:val="20"/>
                <w:lang w:val="pl-PL"/>
              </w:rPr>
              <w:t>typ ogrzewania</w:t>
            </w:r>
          </w:p>
        </w:tc>
        <w:tc>
          <w:tcPr>
            <w:tcW w:w="8055" w:type="dxa"/>
            <w:gridSpan w:val="6"/>
            <w:tcBorders>
              <w:top w:val="dotted" w:sz="4" w:space="0" w:color="auto"/>
              <w:left w:val="dotted" w:sz="4" w:space="0" w:color="auto"/>
              <w:bottom w:val="dotted" w:sz="4" w:space="0" w:color="auto"/>
              <w:right w:val="single" w:sz="4" w:space="0" w:color="000000"/>
            </w:tcBorders>
            <w:shd w:val="clear" w:color="auto" w:fill="D9D9D9" w:themeFill="background1" w:themeFillShade="D9"/>
            <w:vAlign w:val="bottom"/>
          </w:tcPr>
          <w:p w14:paraId="305750AB" w14:textId="5BDB429A" w:rsidR="00756D68" w:rsidRPr="00AD3D8C" w:rsidRDefault="00756D68" w:rsidP="002E5705">
            <w:pPr>
              <w:pStyle w:val="Normal1"/>
              <w:jc w:val="left"/>
              <w:rPr>
                <w:szCs w:val="20"/>
              </w:rPr>
            </w:pPr>
            <w:r w:rsidRPr="00AD3D8C">
              <w:rPr>
                <w:szCs w:val="20"/>
              </w:rPr>
              <w:t xml:space="preserve">REF: </w:t>
            </w:r>
            <w:r w:rsidR="002E5705">
              <w:rPr>
                <w:szCs w:val="20"/>
                <w:lang w:val="pl-PL"/>
              </w:rPr>
              <w:t>ogrzewanie centralne</w:t>
            </w:r>
          </w:p>
        </w:tc>
      </w:tr>
      <w:tr w:rsidR="00756D68" w14:paraId="6C438F32" w14:textId="77777777" w:rsidTr="006A1C43">
        <w:trPr>
          <w:trHeight w:val="346"/>
        </w:trPr>
        <w:tc>
          <w:tcPr>
            <w:tcW w:w="744" w:type="dxa"/>
            <w:vMerge/>
            <w:tcBorders>
              <w:right w:val="dotted" w:sz="4" w:space="0" w:color="auto"/>
            </w:tcBorders>
            <w:shd w:val="clear" w:color="auto" w:fill="FFFF00"/>
          </w:tcPr>
          <w:p w14:paraId="48CAF386"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bottom"/>
          </w:tcPr>
          <w:p w14:paraId="2CED2496" w14:textId="2FB4E581" w:rsidR="00756D68" w:rsidRPr="002E5705" w:rsidRDefault="002E5705" w:rsidP="002E5705">
            <w:pPr>
              <w:pStyle w:val="Normal1"/>
              <w:jc w:val="center"/>
              <w:rPr>
                <w:szCs w:val="20"/>
                <w:lang w:val="pl-PL"/>
              </w:rPr>
            </w:pPr>
            <w:r w:rsidRPr="002E5705">
              <w:rPr>
                <w:szCs w:val="20"/>
                <w:lang w:val="pl-PL"/>
              </w:rPr>
              <w:t>piece na opał (w</w:t>
            </w:r>
            <w:r>
              <w:rPr>
                <w:szCs w:val="20"/>
                <w:lang w:val="pl-PL"/>
              </w:rPr>
              <w:t>ę</w:t>
            </w:r>
            <w:r w:rsidRPr="002E5705">
              <w:rPr>
                <w:szCs w:val="20"/>
                <w:lang w:val="pl-PL"/>
              </w:rPr>
              <w:t>giel, drewno)</w:t>
            </w:r>
          </w:p>
        </w:tc>
        <w:tc>
          <w:tcPr>
            <w:tcW w:w="1044" w:type="dxa"/>
            <w:tcBorders>
              <w:top w:val="dotted" w:sz="4" w:space="0" w:color="auto"/>
              <w:left w:val="dotted" w:sz="4" w:space="0" w:color="auto"/>
              <w:bottom w:val="dotted" w:sz="4" w:space="0" w:color="auto"/>
              <w:right w:val="dotted" w:sz="4" w:space="0" w:color="auto"/>
            </w:tcBorders>
          </w:tcPr>
          <w:p w14:paraId="20A15E38" w14:textId="77777777" w:rsidR="00756D68" w:rsidRPr="00AD3D8C" w:rsidRDefault="00756D68" w:rsidP="00756D68">
            <w:pPr>
              <w:pStyle w:val="Normal1"/>
              <w:jc w:val="center"/>
              <w:rPr>
                <w:szCs w:val="20"/>
              </w:rPr>
            </w:pPr>
            <w:r w:rsidRPr="00E25004">
              <w:t>-0.005</w:t>
            </w:r>
          </w:p>
        </w:tc>
        <w:tc>
          <w:tcPr>
            <w:tcW w:w="1130" w:type="dxa"/>
            <w:tcBorders>
              <w:top w:val="dotted" w:sz="4" w:space="0" w:color="auto"/>
              <w:left w:val="dotted" w:sz="4" w:space="0" w:color="auto"/>
              <w:bottom w:val="dotted" w:sz="4" w:space="0" w:color="auto"/>
              <w:right w:val="dotted" w:sz="4" w:space="0" w:color="auto"/>
            </w:tcBorders>
          </w:tcPr>
          <w:p w14:paraId="69A84802" w14:textId="77777777" w:rsidR="00756D68" w:rsidRPr="00AD3D8C" w:rsidRDefault="00756D68" w:rsidP="00756D68">
            <w:pPr>
              <w:pStyle w:val="Normal1"/>
              <w:jc w:val="center"/>
              <w:rPr>
                <w:szCs w:val="20"/>
              </w:rPr>
            </w:pPr>
            <w:r w:rsidRPr="00E25004">
              <w:t>0.003*</w:t>
            </w:r>
          </w:p>
        </w:tc>
        <w:tc>
          <w:tcPr>
            <w:tcW w:w="1131" w:type="dxa"/>
            <w:tcBorders>
              <w:top w:val="dotted" w:sz="4" w:space="0" w:color="auto"/>
              <w:left w:val="dotted" w:sz="4" w:space="0" w:color="auto"/>
              <w:bottom w:val="dotted" w:sz="4" w:space="0" w:color="auto"/>
              <w:right w:val="dotted" w:sz="4" w:space="0" w:color="auto"/>
            </w:tcBorders>
          </w:tcPr>
          <w:p w14:paraId="77DF615F" w14:textId="77777777" w:rsidR="00756D68" w:rsidRPr="00AD3D8C" w:rsidRDefault="00756D68" w:rsidP="00756D68">
            <w:pPr>
              <w:pStyle w:val="Normal1"/>
              <w:jc w:val="center"/>
              <w:rPr>
                <w:szCs w:val="20"/>
              </w:rPr>
            </w:pPr>
            <w:r w:rsidRPr="00E25004">
              <w:t>-0.000</w:t>
            </w:r>
          </w:p>
        </w:tc>
        <w:tc>
          <w:tcPr>
            <w:tcW w:w="1130" w:type="dxa"/>
            <w:tcBorders>
              <w:top w:val="dotted" w:sz="4" w:space="0" w:color="auto"/>
              <w:left w:val="dotted" w:sz="4" w:space="0" w:color="auto"/>
              <w:bottom w:val="dotted" w:sz="4" w:space="0" w:color="auto"/>
              <w:right w:val="dotted" w:sz="4" w:space="0" w:color="auto"/>
            </w:tcBorders>
          </w:tcPr>
          <w:p w14:paraId="4FA761E3" w14:textId="77777777" w:rsidR="00756D68" w:rsidRPr="00AD3D8C" w:rsidRDefault="00756D68" w:rsidP="00756D68">
            <w:pPr>
              <w:pStyle w:val="Normal1"/>
              <w:jc w:val="center"/>
              <w:rPr>
                <w:szCs w:val="20"/>
              </w:rPr>
            </w:pPr>
            <w:r w:rsidRPr="00E25004">
              <w:t>0.012***</w:t>
            </w:r>
          </w:p>
        </w:tc>
        <w:tc>
          <w:tcPr>
            <w:tcW w:w="1194" w:type="dxa"/>
            <w:tcBorders>
              <w:top w:val="dotted" w:sz="4" w:space="0" w:color="auto"/>
              <w:left w:val="dotted" w:sz="4" w:space="0" w:color="auto"/>
              <w:bottom w:val="dotted" w:sz="4" w:space="0" w:color="auto"/>
              <w:right w:val="single" w:sz="4" w:space="0" w:color="000000"/>
            </w:tcBorders>
          </w:tcPr>
          <w:p w14:paraId="63631C5A" w14:textId="77777777" w:rsidR="00756D68" w:rsidRPr="00AD3D8C" w:rsidRDefault="00756D68" w:rsidP="00756D68">
            <w:pPr>
              <w:pStyle w:val="Normal1"/>
              <w:jc w:val="center"/>
              <w:rPr>
                <w:szCs w:val="20"/>
              </w:rPr>
            </w:pPr>
            <w:r w:rsidRPr="00E25004">
              <w:t>0.068***</w:t>
            </w:r>
          </w:p>
        </w:tc>
      </w:tr>
      <w:tr w:rsidR="00756D68" w14:paraId="4C132B7A" w14:textId="77777777" w:rsidTr="006A1C43">
        <w:trPr>
          <w:trHeight w:val="346"/>
        </w:trPr>
        <w:tc>
          <w:tcPr>
            <w:tcW w:w="744" w:type="dxa"/>
            <w:vMerge/>
            <w:tcBorders>
              <w:right w:val="dotted" w:sz="4" w:space="0" w:color="auto"/>
            </w:tcBorders>
            <w:shd w:val="clear" w:color="auto" w:fill="FFFF00"/>
          </w:tcPr>
          <w:p w14:paraId="76D95D95"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tcPr>
          <w:p w14:paraId="0BE8170A" w14:textId="23FFD0AC" w:rsidR="00756D68" w:rsidRPr="002E5705" w:rsidRDefault="002E5705" w:rsidP="00756D68">
            <w:pPr>
              <w:pStyle w:val="Normal1"/>
              <w:jc w:val="center"/>
              <w:rPr>
                <w:szCs w:val="20"/>
                <w:lang w:val="pl-PL"/>
              </w:rPr>
            </w:pPr>
            <w:r>
              <w:rPr>
                <w:szCs w:val="20"/>
                <w:lang w:val="pl-PL"/>
              </w:rPr>
              <w:t>p</w:t>
            </w:r>
            <w:r w:rsidRPr="002E5705">
              <w:rPr>
                <w:szCs w:val="20"/>
                <w:lang w:val="pl-PL"/>
              </w:rPr>
              <w:t>iece gazowe</w:t>
            </w:r>
          </w:p>
        </w:tc>
        <w:tc>
          <w:tcPr>
            <w:tcW w:w="1044" w:type="dxa"/>
            <w:tcBorders>
              <w:top w:val="dotted" w:sz="4" w:space="0" w:color="auto"/>
              <w:left w:val="dotted" w:sz="4" w:space="0" w:color="auto"/>
              <w:bottom w:val="dotted" w:sz="4" w:space="0" w:color="auto"/>
              <w:right w:val="dotted" w:sz="4" w:space="0" w:color="auto"/>
            </w:tcBorders>
          </w:tcPr>
          <w:p w14:paraId="61C8A27D" w14:textId="77777777" w:rsidR="00756D68" w:rsidRPr="00AD3D8C" w:rsidRDefault="00756D68" w:rsidP="00756D68">
            <w:pPr>
              <w:pStyle w:val="Normal1"/>
              <w:jc w:val="center"/>
              <w:rPr>
                <w:szCs w:val="20"/>
              </w:rPr>
            </w:pPr>
            <w:r w:rsidRPr="00E25004">
              <w:t>0.031***</w:t>
            </w:r>
          </w:p>
        </w:tc>
        <w:tc>
          <w:tcPr>
            <w:tcW w:w="1130" w:type="dxa"/>
            <w:tcBorders>
              <w:top w:val="dotted" w:sz="4" w:space="0" w:color="auto"/>
              <w:left w:val="dotted" w:sz="4" w:space="0" w:color="auto"/>
              <w:bottom w:val="dotted" w:sz="4" w:space="0" w:color="auto"/>
              <w:right w:val="dotted" w:sz="4" w:space="0" w:color="auto"/>
            </w:tcBorders>
          </w:tcPr>
          <w:p w14:paraId="690E76AA" w14:textId="77777777" w:rsidR="00756D68" w:rsidRPr="00AD3D8C" w:rsidRDefault="00756D68" w:rsidP="00756D68">
            <w:pPr>
              <w:pStyle w:val="Normal1"/>
              <w:jc w:val="center"/>
              <w:rPr>
                <w:szCs w:val="20"/>
              </w:rPr>
            </w:pPr>
            <w:r w:rsidRPr="00E25004">
              <w:t>0.030***</w:t>
            </w:r>
          </w:p>
        </w:tc>
        <w:tc>
          <w:tcPr>
            <w:tcW w:w="1131" w:type="dxa"/>
            <w:tcBorders>
              <w:top w:val="dotted" w:sz="4" w:space="0" w:color="auto"/>
              <w:left w:val="dotted" w:sz="4" w:space="0" w:color="auto"/>
              <w:bottom w:val="dotted" w:sz="4" w:space="0" w:color="auto"/>
              <w:right w:val="dotted" w:sz="4" w:space="0" w:color="auto"/>
            </w:tcBorders>
          </w:tcPr>
          <w:p w14:paraId="6AEB4F1E" w14:textId="77777777" w:rsidR="00756D68" w:rsidRPr="00AD3D8C" w:rsidRDefault="00756D68" w:rsidP="00756D68">
            <w:pPr>
              <w:pStyle w:val="Normal1"/>
              <w:jc w:val="center"/>
              <w:rPr>
                <w:szCs w:val="20"/>
              </w:rPr>
            </w:pPr>
            <w:r w:rsidRPr="00E25004">
              <w:t>0.052***</w:t>
            </w:r>
          </w:p>
        </w:tc>
        <w:tc>
          <w:tcPr>
            <w:tcW w:w="1130" w:type="dxa"/>
            <w:tcBorders>
              <w:top w:val="dotted" w:sz="4" w:space="0" w:color="auto"/>
              <w:left w:val="dotted" w:sz="4" w:space="0" w:color="auto"/>
              <w:bottom w:val="dotted" w:sz="4" w:space="0" w:color="auto"/>
              <w:right w:val="dotted" w:sz="4" w:space="0" w:color="auto"/>
            </w:tcBorders>
          </w:tcPr>
          <w:p w14:paraId="6047194C" w14:textId="77777777" w:rsidR="00756D68" w:rsidRPr="00AD3D8C" w:rsidRDefault="00756D68" w:rsidP="00756D68">
            <w:pPr>
              <w:pStyle w:val="Normal1"/>
              <w:jc w:val="center"/>
              <w:rPr>
                <w:szCs w:val="20"/>
              </w:rPr>
            </w:pPr>
            <w:r w:rsidRPr="00E25004">
              <w:t>0.006</w:t>
            </w:r>
          </w:p>
        </w:tc>
        <w:tc>
          <w:tcPr>
            <w:tcW w:w="1194" w:type="dxa"/>
            <w:tcBorders>
              <w:top w:val="dotted" w:sz="4" w:space="0" w:color="auto"/>
              <w:left w:val="dotted" w:sz="4" w:space="0" w:color="auto"/>
              <w:bottom w:val="dotted" w:sz="4" w:space="0" w:color="auto"/>
              <w:right w:val="single" w:sz="4" w:space="0" w:color="000000"/>
            </w:tcBorders>
          </w:tcPr>
          <w:p w14:paraId="22A26BED" w14:textId="77777777" w:rsidR="00756D68" w:rsidRPr="00AD3D8C" w:rsidRDefault="00756D68" w:rsidP="00756D68">
            <w:pPr>
              <w:pStyle w:val="Normal1"/>
              <w:jc w:val="center"/>
              <w:rPr>
                <w:szCs w:val="20"/>
              </w:rPr>
            </w:pPr>
            <w:r w:rsidRPr="00E25004">
              <w:t>0.038***</w:t>
            </w:r>
          </w:p>
        </w:tc>
      </w:tr>
      <w:tr w:rsidR="00756D68" w14:paraId="14717078" w14:textId="77777777" w:rsidTr="006A1C43">
        <w:trPr>
          <w:trHeight w:val="346"/>
        </w:trPr>
        <w:tc>
          <w:tcPr>
            <w:tcW w:w="744" w:type="dxa"/>
            <w:vMerge/>
            <w:tcBorders>
              <w:right w:val="dotted" w:sz="4" w:space="0" w:color="auto"/>
            </w:tcBorders>
            <w:shd w:val="clear" w:color="auto" w:fill="FFFF00"/>
          </w:tcPr>
          <w:p w14:paraId="1677D2FF"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tcPr>
          <w:p w14:paraId="0DE634CA" w14:textId="7AF31080" w:rsidR="00756D68" w:rsidRPr="002E5705" w:rsidRDefault="00961F49" w:rsidP="00756D68">
            <w:pPr>
              <w:pStyle w:val="Normal1"/>
              <w:jc w:val="center"/>
              <w:rPr>
                <w:szCs w:val="20"/>
                <w:lang w:val="pl-PL"/>
              </w:rPr>
            </w:pPr>
            <w:r>
              <w:rPr>
                <w:szCs w:val="20"/>
                <w:lang w:val="pl-PL"/>
              </w:rPr>
              <w:t>p</w:t>
            </w:r>
            <w:r w:rsidR="002E5705" w:rsidRPr="002E5705">
              <w:rPr>
                <w:szCs w:val="20"/>
                <w:lang w:val="pl-PL"/>
              </w:rPr>
              <w:t>iece elektryczne</w:t>
            </w:r>
          </w:p>
        </w:tc>
        <w:tc>
          <w:tcPr>
            <w:tcW w:w="1044" w:type="dxa"/>
            <w:tcBorders>
              <w:top w:val="dotted" w:sz="4" w:space="0" w:color="auto"/>
              <w:left w:val="dotted" w:sz="4" w:space="0" w:color="auto"/>
              <w:bottom w:val="dotted" w:sz="4" w:space="0" w:color="auto"/>
              <w:right w:val="dotted" w:sz="4" w:space="0" w:color="auto"/>
            </w:tcBorders>
          </w:tcPr>
          <w:p w14:paraId="5383ED0B" w14:textId="77777777" w:rsidR="00756D68" w:rsidRPr="00AD3D8C" w:rsidRDefault="00756D68" w:rsidP="00756D68">
            <w:pPr>
              <w:pStyle w:val="Normal1"/>
              <w:jc w:val="center"/>
              <w:rPr>
                <w:szCs w:val="20"/>
              </w:rPr>
            </w:pPr>
            <w:r w:rsidRPr="00E25004">
              <w:t>-0.023</w:t>
            </w:r>
          </w:p>
        </w:tc>
        <w:tc>
          <w:tcPr>
            <w:tcW w:w="1130" w:type="dxa"/>
            <w:tcBorders>
              <w:top w:val="dotted" w:sz="4" w:space="0" w:color="auto"/>
              <w:left w:val="dotted" w:sz="4" w:space="0" w:color="auto"/>
              <w:bottom w:val="dotted" w:sz="4" w:space="0" w:color="auto"/>
              <w:right w:val="dotted" w:sz="4" w:space="0" w:color="auto"/>
            </w:tcBorders>
          </w:tcPr>
          <w:p w14:paraId="072999AA" w14:textId="77777777" w:rsidR="00756D68" w:rsidRPr="00AD3D8C" w:rsidRDefault="00756D68" w:rsidP="00756D68">
            <w:pPr>
              <w:pStyle w:val="Normal1"/>
              <w:jc w:val="center"/>
              <w:rPr>
                <w:szCs w:val="20"/>
              </w:rPr>
            </w:pPr>
            <w:r w:rsidRPr="00E25004">
              <w:t>-0.028**</w:t>
            </w:r>
          </w:p>
        </w:tc>
        <w:tc>
          <w:tcPr>
            <w:tcW w:w="1131" w:type="dxa"/>
            <w:tcBorders>
              <w:top w:val="dotted" w:sz="4" w:space="0" w:color="auto"/>
              <w:left w:val="dotted" w:sz="4" w:space="0" w:color="auto"/>
              <w:bottom w:val="dotted" w:sz="4" w:space="0" w:color="auto"/>
              <w:right w:val="dotted" w:sz="4" w:space="0" w:color="auto"/>
            </w:tcBorders>
          </w:tcPr>
          <w:p w14:paraId="61F8B9FD" w14:textId="77777777" w:rsidR="00756D68" w:rsidRPr="00AD3D8C" w:rsidRDefault="00756D68" w:rsidP="00756D68">
            <w:pPr>
              <w:pStyle w:val="Normal1"/>
              <w:jc w:val="center"/>
              <w:rPr>
                <w:szCs w:val="20"/>
              </w:rPr>
            </w:pPr>
            <w:r w:rsidRPr="00E25004">
              <w:t>0.017</w:t>
            </w:r>
          </w:p>
        </w:tc>
        <w:tc>
          <w:tcPr>
            <w:tcW w:w="1130" w:type="dxa"/>
            <w:tcBorders>
              <w:top w:val="dotted" w:sz="4" w:space="0" w:color="auto"/>
              <w:left w:val="dotted" w:sz="4" w:space="0" w:color="auto"/>
              <w:bottom w:val="dotted" w:sz="4" w:space="0" w:color="auto"/>
              <w:right w:val="dotted" w:sz="4" w:space="0" w:color="auto"/>
            </w:tcBorders>
          </w:tcPr>
          <w:p w14:paraId="1E0417B2" w14:textId="77777777" w:rsidR="00756D68" w:rsidRPr="00AD3D8C" w:rsidRDefault="00756D68" w:rsidP="00756D68">
            <w:pPr>
              <w:pStyle w:val="Normal1"/>
              <w:jc w:val="center"/>
              <w:rPr>
                <w:szCs w:val="20"/>
              </w:rPr>
            </w:pPr>
            <w:r w:rsidRPr="00E25004">
              <w:t>0.018***</w:t>
            </w:r>
          </w:p>
        </w:tc>
        <w:tc>
          <w:tcPr>
            <w:tcW w:w="1194" w:type="dxa"/>
            <w:tcBorders>
              <w:top w:val="dotted" w:sz="4" w:space="0" w:color="auto"/>
              <w:left w:val="dotted" w:sz="4" w:space="0" w:color="auto"/>
              <w:bottom w:val="dotted" w:sz="4" w:space="0" w:color="auto"/>
              <w:right w:val="single" w:sz="4" w:space="0" w:color="000000"/>
            </w:tcBorders>
          </w:tcPr>
          <w:p w14:paraId="1E0DDA03" w14:textId="77777777" w:rsidR="00756D68" w:rsidRPr="00AD3D8C" w:rsidRDefault="00756D68" w:rsidP="00756D68">
            <w:pPr>
              <w:pStyle w:val="Normal1"/>
              <w:jc w:val="center"/>
              <w:rPr>
                <w:szCs w:val="20"/>
              </w:rPr>
            </w:pPr>
            <w:r w:rsidRPr="00E25004">
              <w:t>0.062***</w:t>
            </w:r>
          </w:p>
        </w:tc>
      </w:tr>
      <w:tr w:rsidR="00756D68" w14:paraId="31302F1E" w14:textId="77777777" w:rsidTr="006A1C43">
        <w:trPr>
          <w:trHeight w:val="346"/>
        </w:trPr>
        <w:tc>
          <w:tcPr>
            <w:tcW w:w="744" w:type="dxa"/>
            <w:vMerge w:val="restart"/>
            <w:tcBorders>
              <w:right w:val="dotted" w:sz="4" w:space="0" w:color="auto"/>
            </w:tcBorders>
            <w:shd w:val="clear" w:color="auto" w:fill="FFFF00"/>
            <w:textDirection w:val="btLr"/>
          </w:tcPr>
          <w:p w14:paraId="5EF47B17" w14:textId="460A2BD5" w:rsidR="00756D68" w:rsidRPr="00961F49" w:rsidRDefault="00961F49" w:rsidP="00756D68">
            <w:pPr>
              <w:pStyle w:val="Normal1"/>
              <w:ind w:left="113" w:right="113"/>
              <w:jc w:val="center"/>
              <w:rPr>
                <w:b/>
                <w:szCs w:val="20"/>
                <w:lang w:val="pl-PL"/>
              </w:rPr>
            </w:pPr>
            <w:r w:rsidRPr="00961F49">
              <w:rPr>
                <w:b/>
                <w:szCs w:val="20"/>
                <w:lang w:val="pl-PL"/>
              </w:rPr>
              <w:t>typ budynku</w:t>
            </w:r>
          </w:p>
        </w:tc>
        <w:tc>
          <w:tcPr>
            <w:tcW w:w="8055" w:type="dxa"/>
            <w:gridSpan w:val="6"/>
            <w:tcBorders>
              <w:top w:val="dotted" w:sz="4" w:space="0" w:color="auto"/>
              <w:left w:val="dotted" w:sz="4" w:space="0" w:color="auto"/>
              <w:bottom w:val="dotted" w:sz="4" w:space="0" w:color="auto"/>
              <w:right w:val="single" w:sz="4" w:space="0" w:color="000000"/>
            </w:tcBorders>
            <w:shd w:val="clear" w:color="auto" w:fill="D9D9D9" w:themeFill="background1" w:themeFillShade="D9"/>
          </w:tcPr>
          <w:p w14:paraId="642316D7" w14:textId="25D02E1C" w:rsidR="00756D68" w:rsidRPr="00961F49" w:rsidRDefault="00756D68" w:rsidP="00961F49">
            <w:pPr>
              <w:pStyle w:val="Normal1"/>
              <w:jc w:val="left"/>
              <w:rPr>
                <w:szCs w:val="20"/>
                <w:lang w:val="pl-PL"/>
              </w:rPr>
            </w:pPr>
            <w:r w:rsidRPr="00961F49">
              <w:rPr>
                <w:szCs w:val="20"/>
                <w:lang w:val="pl-PL"/>
              </w:rPr>
              <w:t xml:space="preserve">REF: </w:t>
            </w:r>
            <w:r w:rsidR="00961F49" w:rsidRPr="00961F49">
              <w:rPr>
                <w:szCs w:val="20"/>
                <w:lang w:val="pl-PL"/>
              </w:rPr>
              <w:t>wielorodzinne</w:t>
            </w:r>
          </w:p>
        </w:tc>
      </w:tr>
      <w:tr w:rsidR="00756D68" w14:paraId="5AD06784" w14:textId="77777777" w:rsidTr="006A1C43">
        <w:trPr>
          <w:trHeight w:val="689"/>
        </w:trPr>
        <w:tc>
          <w:tcPr>
            <w:tcW w:w="744" w:type="dxa"/>
            <w:vMerge/>
            <w:tcBorders>
              <w:right w:val="dotted" w:sz="4" w:space="0" w:color="auto"/>
            </w:tcBorders>
            <w:shd w:val="clear" w:color="auto" w:fill="FFFF00"/>
          </w:tcPr>
          <w:p w14:paraId="208C52CA"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vAlign w:val="center"/>
          </w:tcPr>
          <w:p w14:paraId="4250CE66" w14:textId="28071197" w:rsidR="00756D68" w:rsidRPr="00961F49" w:rsidRDefault="00961F49" w:rsidP="00756D68">
            <w:pPr>
              <w:pStyle w:val="Normal1"/>
              <w:jc w:val="center"/>
              <w:rPr>
                <w:szCs w:val="20"/>
                <w:lang w:val="pl-PL"/>
              </w:rPr>
            </w:pPr>
            <w:r w:rsidRPr="00961F49">
              <w:rPr>
                <w:szCs w:val="20"/>
                <w:lang w:val="pl-PL"/>
              </w:rPr>
              <w:t>jednorodzinne</w:t>
            </w:r>
          </w:p>
        </w:tc>
        <w:tc>
          <w:tcPr>
            <w:tcW w:w="1044" w:type="dxa"/>
            <w:tcBorders>
              <w:top w:val="dotted" w:sz="4" w:space="0" w:color="auto"/>
              <w:left w:val="dotted" w:sz="4" w:space="0" w:color="auto"/>
              <w:bottom w:val="dotted" w:sz="4" w:space="0" w:color="auto"/>
              <w:right w:val="dotted" w:sz="4" w:space="0" w:color="auto"/>
            </w:tcBorders>
          </w:tcPr>
          <w:p w14:paraId="310AEFAE" w14:textId="77777777" w:rsidR="00756D68" w:rsidRPr="00961F49" w:rsidRDefault="00756D68" w:rsidP="00756D68">
            <w:pPr>
              <w:pStyle w:val="Normal1"/>
              <w:jc w:val="center"/>
              <w:rPr>
                <w:szCs w:val="20"/>
                <w:lang w:val="pl-PL"/>
              </w:rPr>
            </w:pPr>
            <w:r w:rsidRPr="00961F49">
              <w:rPr>
                <w:lang w:val="pl-PL"/>
              </w:rPr>
              <w:t>-0.098***</w:t>
            </w:r>
          </w:p>
        </w:tc>
        <w:tc>
          <w:tcPr>
            <w:tcW w:w="1130" w:type="dxa"/>
            <w:tcBorders>
              <w:top w:val="dotted" w:sz="4" w:space="0" w:color="auto"/>
              <w:left w:val="dotted" w:sz="4" w:space="0" w:color="auto"/>
              <w:bottom w:val="dotted" w:sz="4" w:space="0" w:color="auto"/>
              <w:right w:val="dotted" w:sz="4" w:space="0" w:color="auto"/>
            </w:tcBorders>
          </w:tcPr>
          <w:p w14:paraId="0B99AAC6" w14:textId="77777777" w:rsidR="00756D68" w:rsidRPr="00961F49" w:rsidRDefault="00756D68" w:rsidP="00756D68">
            <w:pPr>
              <w:pStyle w:val="Normal1"/>
              <w:jc w:val="center"/>
              <w:rPr>
                <w:szCs w:val="20"/>
                <w:lang w:val="pl-PL"/>
              </w:rPr>
            </w:pPr>
            <w:r w:rsidRPr="00961F49">
              <w:rPr>
                <w:lang w:val="pl-PL"/>
              </w:rPr>
              <w:t>-0.045***</w:t>
            </w:r>
          </w:p>
        </w:tc>
        <w:tc>
          <w:tcPr>
            <w:tcW w:w="1131" w:type="dxa"/>
            <w:tcBorders>
              <w:top w:val="dotted" w:sz="4" w:space="0" w:color="auto"/>
              <w:left w:val="dotted" w:sz="4" w:space="0" w:color="auto"/>
              <w:bottom w:val="dotted" w:sz="4" w:space="0" w:color="auto"/>
              <w:right w:val="dotted" w:sz="4" w:space="0" w:color="auto"/>
            </w:tcBorders>
          </w:tcPr>
          <w:p w14:paraId="21392920" w14:textId="77777777" w:rsidR="00756D68" w:rsidRPr="00961F49" w:rsidRDefault="00756D68" w:rsidP="00756D68">
            <w:pPr>
              <w:pStyle w:val="Normal1"/>
              <w:jc w:val="center"/>
              <w:rPr>
                <w:szCs w:val="20"/>
                <w:lang w:val="pl-PL"/>
              </w:rPr>
            </w:pPr>
            <w:r w:rsidRPr="00961F49">
              <w:rPr>
                <w:lang w:val="pl-PL"/>
              </w:rPr>
              <w:t>-0.006</w:t>
            </w:r>
          </w:p>
        </w:tc>
        <w:tc>
          <w:tcPr>
            <w:tcW w:w="1130" w:type="dxa"/>
            <w:tcBorders>
              <w:top w:val="dotted" w:sz="4" w:space="0" w:color="auto"/>
              <w:left w:val="dotted" w:sz="4" w:space="0" w:color="auto"/>
              <w:bottom w:val="dotted" w:sz="4" w:space="0" w:color="auto"/>
              <w:right w:val="dotted" w:sz="4" w:space="0" w:color="auto"/>
            </w:tcBorders>
          </w:tcPr>
          <w:p w14:paraId="28EB7722" w14:textId="77777777" w:rsidR="00756D68" w:rsidRPr="00961F49" w:rsidRDefault="00756D68" w:rsidP="00756D68">
            <w:pPr>
              <w:pStyle w:val="Normal1"/>
              <w:jc w:val="center"/>
              <w:rPr>
                <w:szCs w:val="20"/>
                <w:lang w:val="pl-PL"/>
              </w:rPr>
            </w:pPr>
            <w:r w:rsidRPr="00961F49">
              <w:rPr>
                <w:lang w:val="pl-PL"/>
              </w:rPr>
              <w:t>-0.012***</w:t>
            </w:r>
          </w:p>
        </w:tc>
        <w:tc>
          <w:tcPr>
            <w:tcW w:w="1194" w:type="dxa"/>
            <w:tcBorders>
              <w:top w:val="dotted" w:sz="4" w:space="0" w:color="auto"/>
              <w:left w:val="dotted" w:sz="4" w:space="0" w:color="auto"/>
              <w:bottom w:val="dotted" w:sz="4" w:space="0" w:color="auto"/>
              <w:right w:val="single" w:sz="4" w:space="0" w:color="000000"/>
            </w:tcBorders>
          </w:tcPr>
          <w:p w14:paraId="6C462A44" w14:textId="77777777" w:rsidR="00756D68" w:rsidRPr="00961F49" w:rsidRDefault="00756D68" w:rsidP="00756D68">
            <w:pPr>
              <w:pStyle w:val="Normal1"/>
              <w:jc w:val="center"/>
              <w:rPr>
                <w:szCs w:val="20"/>
                <w:lang w:val="pl-PL"/>
              </w:rPr>
            </w:pPr>
            <w:r w:rsidRPr="00961F49">
              <w:rPr>
                <w:lang w:val="pl-PL"/>
              </w:rPr>
              <w:t>0.017***</w:t>
            </w:r>
          </w:p>
        </w:tc>
      </w:tr>
      <w:tr w:rsidR="00756D68" w14:paraId="26454648" w14:textId="77777777" w:rsidTr="00756D68">
        <w:trPr>
          <w:trHeight w:val="346"/>
        </w:trPr>
        <w:tc>
          <w:tcPr>
            <w:tcW w:w="3170" w:type="dxa"/>
            <w:gridSpan w:val="2"/>
            <w:tcBorders>
              <w:right w:val="dotted" w:sz="4" w:space="0" w:color="auto"/>
            </w:tcBorders>
            <w:shd w:val="clear" w:color="auto" w:fill="FFFF00"/>
          </w:tcPr>
          <w:p w14:paraId="082013B0" w14:textId="054A89C5" w:rsidR="00756D68" w:rsidRPr="00961F49" w:rsidRDefault="00961F49" w:rsidP="00756D68">
            <w:pPr>
              <w:pStyle w:val="Normal1"/>
              <w:jc w:val="center"/>
              <w:rPr>
                <w:szCs w:val="20"/>
                <w:lang w:val="pl-PL"/>
              </w:rPr>
            </w:pPr>
            <w:r>
              <w:rPr>
                <w:b/>
                <w:szCs w:val="20"/>
                <w:lang w:val="pl-PL"/>
              </w:rPr>
              <w:t>l</w:t>
            </w:r>
            <w:r w:rsidRPr="00961F49">
              <w:rPr>
                <w:b/>
                <w:szCs w:val="20"/>
                <w:lang w:val="pl-PL"/>
              </w:rPr>
              <w:t>ogarytm powierzchni</w:t>
            </w:r>
          </w:p>
        </w:tc>
        <w:tc>
          <w:tcPr>
            <w:tcW w:w="1044" w:type="dxa"/>
            <w:tcBorders>
              <w:top w:val="dotted" w:sz="4" w:space="0" w:color="auto"/>
              <w:left w:val="dotted" w:sz="4" w:space="0" w:color="auto"/>
              <w:bottom w:val="dotted" w:sz="4" w:space="0" w:color="auto"/>
              <w:right w:val="dotted" w:sz="4" w:space="0" w:color="auto"/>
            </w:tcBorders>
          </w:tcPr>
          <w:p w14:paraId="51A00D85" w14:textId="77777777" w:rsidR="00756D68" w:rsidRPr="00AD3D8C" w:rsidRDefault="00756D68" w:rsidP="00756D68">
            <w:pPr>
              <w:pStyle w:val="Normal1"/>
              <w:jc w:val="center"/>
              <w:rPr>
                <w:szCs w:val="20"/>
              </w:rPr>
            </w:pPr>
            <w:r w:rsidRPr="002254FF">
              <w:t>0.188***</w:t>
            </w:r>
          </w:p>
        </w:tc>
        <w:tc>
          <w:tcPr>
            <w:tcW w:w="1130" w:type="dxa"/>
            <w:tcBorders>
              <w:top w:val="dotted" w:sz="4" w:space="0" w:color="auto"/>
              <w:left w:val="dotted" w:sz="4" w:space="0" w:color="auto"/>
              <w:bottom w:val="dotted" w:sz="4" w:space="0" w:color="auto"/>
              <w:right w:val="dotted" w:sz="4" w:space="0" w:color="auto"/>
            </w:tcBorders>
          </w:tcPr>
          <w:p w14:paraId="04338535" w14:textId="77777777" w:rsidR="00756D68" w:rsidRPr="00AD3D8C" w:rsidRDefault="00756D68" w:rsidP="00756D68">
            <w:pPr>
              <w:pStyle w:val="Normal1"/>
              <w:jc w:val="center"/>
              <w:rPr>
                <w:szCs w:val="20"/>
              </w:rPr>
            </w:pPr>
            <w:r w:rsidRPr="002254FF">
              <w:t>0.078***</w:t>
            </w:r>
          </w:p>
        </w:tc>
        <w:tc>
          <w:tcPr>
            <w:tcW w:w="1131" w:type="dxa"/>
            <w:tcBorders>
              <w:top w:val="dotted" w:sz="4" w:space="0" w:color="auto"/>
              <w:left w:val="dotted" w:sz="4" w:space="0" w:color="auto"/>
              <w:bottom w:val="dotted" w:sz="4" w:space="0" w:color="auto"/>
              <w:right w:val="dotted" w:sz="4" w:space="0" w:color="auto"/>
            </w:tcBorders>
          </w:tcPr>
          <w:p w14:paraId="4789E638" w14:textId="77777777" w:rsidR="00756D68" w:rsidRPr="00AD3D8C" w:rsidRDefault="00756D68" w:rsidP="00756D68">
            <w:pPr>
              <w:pStyle w:val="Normal1"/>
              <w:jc w:val="center"/>
              <w:rPr>
                <w:szCs w:val="20"/>
              </w:rPr>
            </w:pPr>
            <w:r w:rsidRPr="002254FF">
              <w:t>0.111***</w:t>
            </w:r>
          </w:p>
        </w:tc>
        <w:tc>
          <w:tcPr>
            <w:tcW w:w="1130" w:type="dxa"/>
            <w:tcBorders>
              <w:top w:val="dotted" w:sz="4" w:space="0" w:color="auto"/>
              <w:left w:val="dotted" w:sz="4" w:space="0" w:color="auto"/>
              <w:bottom w:val="dotted" w:sz="4" w:space="0" w:color="auto"/>
              <w:right w:val="dotted" w:sz="4" w:space="0" w:color="auto"/>
            </w:tcBorders>
          </w:tcPr>
          <w:p w14:paraId="1051D361" w14:textId="77777777" w:rsidR="00756D68" w:rsidRPr="00AD3D8C" w:rsidRDefault="00756D68" w:rsidP="00756D68">
            <w:pPr>
              <w:pStyle w:val="Normal1"/>
              <w:jc w:val="center"/>
              <w:rPr>
                <w:szCs w:val="20"/>
              </w:rPr>
            </w:pPr>
            <w:r w:rsidRPr="002254FF">
              <w:t>-0.000</w:t>
            </w:r>
          </w:p>
        </w:tc>
        <w:tc>
          <w:tcPr>
            <w:tcW w:w="1194" w:type="dxa"/>
            <w:tcBorders>
              <w:top w:val="dotted" w:sz="4" w:space="0" w:color="auto"/>
              <w:left w:val="dotted" w:sz="4" w:space="0" w:color="auto"/>
              <w:bottom w:val="dotted" w:sz="4" w:space="0" w:color="auto"/>
              <w:right w:val="single" w:sz="4" w:space="0" w:color="000000"/>
            </w:tcBorders>
          </w:tcPr>
          <w:p w14:paraId="2E26EC55" w14:textId="77777777" w:rsidR="00756D68" w:rsidRPr="00AD3D8C" w:rsidRDefault="00756D68" w:rsidP="00756D68">
            <w:pPr>
              <w:pStyle w:val="Normal1"/>
              <w:jc w:val="center"/>
              <w:rPr>
                <w:szCs w:val="20"/>
              </w:rPr>
            </w:pPr>
            <w:r w:rsidRPr="002254FF">
              <w:t>-0.037***</w:t>
            </w:r>
          </w:p>
        </w:tc>
      </w:tr>
    </w:tbl>
    <w:p w14:paraId="4407D393" w14:textId="77777777" w:rsidR="000E7881" w:rsidRDefault="000E7881"/>
    <w:p w14:paraId="7B4C8D09" w14:textId="77777777" w:rsidR="000E7881" w:rsidRDefault="000E7881"/>
    <w:p w14:paraId="42CB7BEB" w14:textId="77777777" w:rsidR="000E7881" w:rsidRDefault="000E7881"/>
    <w:tbl>
      <w:tblPr>
        <w:tblStyle w:val="Tabela-Siatka"/>
        <w:tblW w:w="8799" w:type="dxa"/>
        <w:tblLook w:val="04A0" w:firstRow="1" w:lastRow="0" w:firstColumn="1" w:lastColumn="0" w:noHBand="0" w:noVBand="1"/>
      </w:tblPr>
      <w:tblGrid>
        <w:gridCol w:w="726"/>
        <w:gridCol w:w="18"/>
        <w:gridCol w:w="2424"/>
        <w:gridCol w:w="99"/>
        <w:gridCol w:w="945"/>
        <w:gridCol w:w="107"/>
        <w:gridCol w:w="1028"/>
        <w:gridCol w:w="1130"/>
        <w:gridCol w:w="36"/>
        <w:gridCol w:w="1093"/>
        <w:gridCol w:w="40"/>
        <w:gridCol w:w="1153"/>
      </w:tblGrid>
      <w:tr w:rsidR="00756D68" w:rsidRPr="006A1C43" w14:paraId="68539788" w14:textId="77777777" w:rsidTr="000E7881">
        <w:trPr>
          <w:trHeight w:val="346"/>
        </w:trPr>
        <w:tc>
          <w:tcPr>
            <w:tcW w:w="744" w:type="dxa"/>
            <w:gridSpan w:val="2"/>
            <w:vMerge w:val="restart"/>
            <w:tcBorders>
              <w:right w:val="dotted" w:sz="4" w:space="0" w:color="auto"/>
            </w:tcBorders>
            <w:shd w:val="clear" w:color="auto" w:fill="FFFF00"/>
            <w:textDirection w:val="btLr"/>
          </w:tcPr>
          <w:p w14:paraId="4AA603FC" w14:textId="4277F0FC" w:rsidR="00756D68" w:rsidRPr="006A1C43" w:rsidRDefault="006A1C43" w:rsidP="00756D68">
            <w:pPr>
              <w:pStyle w:val="Normal1"/>
              <w:ind w:left="113" w:right="113"/>
              <w:jc w:val="center"/>
              <w:rPr>
                <w:b/>
                <w:szCs w:val="20"/>
                <w:lang w:val="pl-PL"/>
              </w:rPr>
            </w:pPr>
            <w:r w:rsidRPr="006A1C43">
              <w:rPr>
                <w:b/>
                <w:szCs w:val="20"/>
                <w:lang w:val="pl-PL"/>
              </w:rPr>
              <w:t>liczba osób w gospodarstwie</w:t>
            </w:r>
          </w:p>
        </w:tc>
        <w:tc>
          <w:tcPr>
            <w:tcW w:w="8055" w:type="dxa"/>
            <w:gridSpan w:val="10"/>
            <w:tcBorders>
              <w:top w:val="dotted" w:sz="4" w:space="0" w:color="auto"/>
              <w:left w:val="dotted" w:sz="4" w:space="0" w:color="auto"/>
              <w:bottom w:val="dotted" w:sz="4" w:space="0" w:color="auto"/>
              <w:right w:val="single" w:sz="4" w:space="0" w:color="000000"/>
            </w:tcBorders>
            <w:shd w:val="clear" w:color="auto" w:fill="D9D9D9" w:themeFill="background1" w:themeFillShade="D9"/>
          </w:tcPr>
          <w:p w14:paraId="5DF3AD7E" w14:textId="7AF64A58" w:rsidR="00756D68" w:rsidRPr="006A1C43" w:rsidRDefault="00756D68" w:rsidP="006A1C43">
            <w:pPr>
              <w:pStyle w:val="Normal1"/>
              <w:jc w:val="left"/>
              <w:rPr>
                <w:szCs w:val="20"/>
                <w:lang w:val="pl-PL"/>
              </w:rPr>
            </w:pPr>
            <w:r w:rsidRPr="006A1C43">
              <w:rPr>
                <w:szCs w:val="20"/>
                <w:lang w:val="pl-PL"/>
              </w:rPr>
              <w:t xml:space="preserve">REF: 2 </w:t>
            </w:r>
            <w:r w:rsidR="006A1C43" w:rsidRPr="006A1C43">
              <w:rPr>
                <w:szCs w:val="20"/>
                <w:lang w:val="pl-PL"/>
              </w:rPr>
              <w:t>osoby</w:t>
            </w:r>
          </w:p>
        </w:tc>
      </w:tr>
      <w:tr w:rsidR="00756D68" w14:paraId="73BBB546" w14:textId="77777777" w:rsidTr="000E7881">
        <w:trPr>
          <w:trHeight w:val="346"/>
        </w:trPr>
        <w:tc>
          <w:tcPr>
            <w:tcW w:w="744" w:type="dxa"/>
            <w:gridSpan w:val="2"/>
            <w:vMerge/>
            <w:tcBorders>
              <w:right w:val="dotted" w:sz="4" w:space="0" w:color="auto"/>
            </w:tcBorders>
            <w:shd w:val="clear" w:color="auto" w:fill="FFFF00"/>
          </w:tcPr>
          <w:p w14:paraId="69E937A9"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tcPr>
          <w:p w14:paraId="330946E1" w14:textId="6EA24788" w:rsidR="00756D68" w:rsidRPr="006A1C43" w:rsidRDefault="006A1C43" w:rsidP="006A1C43">
            <w:pPr>
              <w:pStyle w:val="Normal1"/>
              <w:jc w:val="center"/>
              <w:rPr>
                <w:szCs w:val="20"/>
                <w:lang w:val="pl-PL"/>
              </w:rPr>
            </w:pPr>
            <w:r w:rsidRPr="006A1C43">
              <w:rPr>
                <w:szCs w:val="20"/>
                <w:lang w:val="pl-PL"/>
              </w:rPr>
              <w:t>1 osoba</w:t>
            </w:r>
          </w:p>
        </w:tc>
        <w:tc>
          <w:tcPr>
            <w:tcW w:w="1044" w:type="dxa"/>
            <w:gridSpan w:val="2"/>
            <w:tcBorders>
              <w:top w:val="dotted" w:sz="4" w:space="0" w:color="auto"/>
              <w:left w:val="dotted" w:sz="4" w:space="0" w:color="auto"/>
              <w:bottom w:val="dotted" w:sz="4" w:space="0" w:color="auto"/>
              <w:right w:val="dotted" w:sz="4" w:space="0" w:color="auto"/>
            </w:tcBorders>
          </w:tcPr>
          <w:p w14:paraId="05F10294" w14:textId="77777777" w:rsidR="00756D68" w:rsidRPr="006A1C43" w:rsidRDefault="00756D68" w:rsidP="00756D68">
            <w:pPr>
              <w:pStyle w:val="Normal1"/>
              <w:jc w:val="center"/>
              <w:rPr>
                <w:szCs w:val="20"/>
                <w:lang w:val="pl-PL"/>
              </w:rPr>
            </w:pPr>
            <w:r w:rsidRPr="006A1C43">
              <w:rPr>
                <w:lang w:val="pl-PL"/>
              </w:rPr>
              <w:t>0.011***</w:t>
            </w:r>
          </w:p>
        </w:tc>
        <w:tc>
          <w:tcPr>
            <w:tcW w:w="1130" w:type="dxa"/>
            <w:gridSpan w:val="2"/>
            <w:tcBorders>
              <w:top w:val="dotted" w:sz="4" w:space="0" w:color="auto"/>
              <w:left w:val="dotted" w:sz="4" w:space="0" w:color="auto"/>
              <w:bottom w:val="dotted" w:sz="4" w:space="0" w:color="auto"/>
              <w:right w:val="dotted" w:sz="4" w:space="0" w:color="auto"/>
            </w:tcBorders>
          </w:tcPr>
          <w:p w14:paraId="09FC9D45" w14:textId="77777777" w:rsidR="00756D68" w:rsidRPr="006A1C43" w:rsidRDefault="00756D68" w:rsidP="00756D68">
            <w:pPr>
              <w:pStyle w:val="Normal1"/>
              <w:jc w:val="center"/>
              <w:rPr>
                <w:szCs w:val="20"/>
                <w:lang w:val="pl-PL"/>
              </w:rPr>
            </w:pPr>
            <w:r w:rsidRPr="006A1C43">
              <w:rPr>
                <w:lang w:val="pl-PL"/>
              </w:rPr>
              <w:t>0.029***</w:t>
            </w:r>
          </w:p>
        </w:tc>
        <w:tc>
          <w:tcPr>
            <w:tcW w:w="1131" w:type="dxa"/>
            <w:tcBorders>
              <w:top w:val="dotted" w:sz="4" w:space="0" w:color="auto"/>
              <w:left w:val="dotted" w:sz="4" w:space="0" w:color="auto"/>
              <w:bottom w:val="dotted" w:sz="4" w:space="0" w:color="auto"/>
              <w:right w:val="dotted" w:sz="4" w:space="0" w:color="auto"/>
            </w:tcBorders>
          </w:tcPr>
          <w:p w14:paraId="3B2A07B4" w14:textId="77777777" w:rsidR="00756D68" w:rsidRPr="006A1C43" w:rsidRDefault="00756D68" w:rsidP="00756D68">
            <w:pPr>
              <w:pStyle w:val="Normal1"/>
              <w:jc w:val="center"/>
              <w:rPr>
                <w:szCs w:val="20"/>
                <w:lang w:val="pl-PL"/>
              </w:rPr>
            </w:pPr>
            <w:r w:rsidRPr="006A1C43">
              <w:rPr>
                <w:lang w:val="pl-PL"/>
              </w:rPr>
              <w:t>0.075***</w:t>
            </w:r>
          </w:p>
        </w:tc>
        <w:tc>
          <w:tcPr>
            <w:tcW w:w="1130" w:type="dxa"/>
            <w:gridSpan w:val="2"/>
            <w:tcBorders>
              <w:top w:val="dotted" w:sz="4" w:space="0" w:color="auto"/>
              <w:left w:val="dotted" w:sz="4" w:space="0" w:color="auto"/>
              <w:bottom w:val="dotted" w:sz="4" w:space="0" w:color="auto"/>
              <w:right w:val="dotted" w:sz="4" w:space="0" w:color="auto"/>
            </w:tcBorders>
          </w:tcPr>
          <w:p w14:paraId="5676619A" w14:textId="77777777" w:rsidR="00756D68" w:rsidRPr="006A1C43" w:rsidRDefault="00756D68" w:rsidP="00756D68">
            <w:pPr>
              <w:pStyle w:val="Normal1"/>
              <w:jc w:val="center"/>
              <w:rPr>
                <w:szCs w:val="20"/>
                <w:lang w:val="pl-PL"/>
              </w:rPr>
            </w:pPr>
            <w:r w:rsidRPr="006A1C43">
              <w:rPr>
                <w:lang w:val="pl-PL"/>
              </w:rPr>
              <w:t>0.003</w:t>
            </w:r>
          </w:p>
        </w:tc>
        <w:tc>
          <w:tcPr>
            <w:tcW w:w="1194" w:type="dxa"/>
            <w:gridSpan w:val="2"/>
            <w:tcBorders>
              <w:top w:val="dotted" w:sz="4" w:space="0" w:color="auto"/>
              <w:left w:val="dotted" w:sz="4" w:space="0" w:color="auto"/>
              <w:bottom w:val="dotted" w:sz="4" w:space="0" w:color="auto"/>
              <w:right w:val="single" w:sz="4" w:space="0" w:color="000000"/>
            </w:tcBorders>
          </w:tcPr>
          <w:p w14:paraId="168B294A" w14:textId="77777777" w:rsidR="00756D68" w:rsidRPr="006A1C43" w:rsidRDefault="00756D68" w:rsidP="00756D68">
            <w:pPr>
              <w:pStyle w:val="Normal1"/>
              <w:jc w:val="center"/>
              <w:rPr>
                <w:szCs w:val="20"/>
                <w:lang w:val="pl-PL"/>
              </w:rPr>
            </w:pPr>
            <w:r w:rsidRPr="006A1C43">
              <w:rPr>
                <w:lang w:val="pl-PL"/>
              </w:rPr>
              <w:t>0.000</w:t>
            </w:r>
          </w:p>
        </w:tc>
      </w:tr>
      <w:tr w:rsidR="00756D68" w14:paraId="2748751E" w14:textId="77777777" w:rsidTr="000E7881">
        <w:trPr>
          <w:trHeight w:val="346"/>
        </w:trPr>
        <w:tc>
          <w:tcPr>
            <w:tcW w:w="744" w:type="dxa"/>
            <w:gridSpan w:val="2"/>
            <w:vMerge/>
            <w:tcBorders>
              <w:right w:val="dotted" w:sz="4" w:space="0" w:color="auto"/>
            </w:tcBorders>
            <w:shd w:val="clear" w:color="auto" w:fill="FFFF00"/>
          </w:tcPr>
          <w:p w14:paraId="032643E2"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tcPr>
          <w:p w14:paraId="6E06D58B" w14:textId="0B1E20DC" w:rsidR="00756D68" w:rsidRPr="006A1C43" w:rsidRDefault="00756D68" w:rsidP="006A1C43">
            <w:pPr>
              <w:pStyle w:val="Normal1"/>
              <w:jc w:val="center"/>
              <w:rPr>
                <w:szCs w:val="20"/>
                <w:lang w:val="pl-PL"/>
              </w:rPr>
            </w:pPr>
            <w:r w:rsidRPr="006A1C43">
              <w:rPr>
                <w:szCs w:val="20"/>
                <w:lang w:val="pl-PL"/>
              </w:rPr>
              <w:t xml:space="preserve">3 </w:t>
            </w:r>
            <w:r w:rsidR="006A1C43" w:rsidRPr="006A1C43">
              <w:rPr>
                <w:szCs w:val="20"/>
                <w:lang w:val="pl-PL"/>
              </w:rPr>
              <w:t>osoby</w:t>
            </w:r>
          </w:p>
        </w:tc>
        <w:tc>
          <w:tcPr>
            <w:tcW w:w="1044" w:type="dxa"/>
            <w:gridSpan w:val="2"/>
            <w:tcBorders>
              <w:top w:val="dotted" w:sz="4" w:space="0" w:color="auto"/>
              <w:left w:val="dotted" w:sz="4" w:space="0" w:color="auto"/>
              <w:bottom w:val="dotted" w:sz="4" w:space="0" w:color="auto"/>
              <w:right w:val="dotted" w:sz="4" w:space="0" w:color="auto"/>
            </w:tcBorders>
          </w:tcPr>
          <w:p w14:paraId="173B284B" w14:textId="77777777" w:rsidR="00756D68" w:rsidRPr="006A1C43" w:rsidRDefault="00756D68" w:rsidP="00756D68">
            <w:pPr>
              <w:pStyle w:val="Normal1"/>
              <w:jc w:val="center"/>
              <w:rPr>
                <w:szCs w:val="20"/>
                <w:lang w:val="pl-PL"/>
              </w:rPr>
            </w:pPr>
            <w:r w:rsidRPr="006A1C43">
              <w:rPr>
                <w:lang w:val="pl-PL"/>
              </w:rPr>
              <w:t>0.014***</w:t>
            </w:r>
          </w:p>
        </w:tc>
        <w:tc>
          <w:tcPr>
            <w:tcW w:w="1130" w:type="dxa"/>
            <w:gridSpan w:val="2"/>
            <w:tcBorders>
              <w:top w:val="dotted" w:sz="4" w:space="0" w:color="auto"/>
              <w:left w:val="dotted" w:sz="4" w:space="0" w:color="auto"/>
              <w:bottom w:val="dotted" w:sz="4" w:space="0" w:color="auto"/>
              <w:right w:val="dotted" w:sz="4" w:space="0" w:color="auto"/>
            </w:tcBorders>
          </w:tcPr>
          <w:p w14:paraId="538573ED" w14:textId="77777777" w:rsidR="00756D68" w:rsidRPr="006A1C43" w:rsidRDefault="00756D68" w:rsidP="00756D68">
            <w:pPr>
              <w:pStyle w:val="Normal1"/>
              <w:jc w:val="center"/>
              <w:rPr>
                <w:szCs w:val="20"/>
                <w:lang w:val="pl-PL"/>
              </w:rPr>
            </w:pPr>
            <w:r w:rsidRPr="006A1C43">
              <w:rPr>
                <w:lang w:val="pl-PL"/>
              </w:rPr>
              <w:t>-0.011***</w:t>
            </w:r>
          </w:p>
        </w:tc>
        <w:tc>
          <w:tcPr>
            <w:tcW w:w="1131" w:type="dxa"/>
            <w:tcBorders>
              <w:top w:val="dotted" w:sz="4" w:space="0" w:color="auto"/>
              <w:left w:val="dotted" w:sz="4" w:space="0" w:color="auto"/>
              <w:bottom w:val="dotted" w:sz="4" w:space="0" w:color="auto"/>
              <w:right w:val="dotted" w:sz="4" w:space="0" w:color="auto"/>
            </w:tcBorders>
          </w:tcPr>
          <w:p w14:paraId="41BD2B28" w14:textId="77777777" w:rsidR="00756D68" w:rsidRPr="006A1C43" w:rsidRDefault="00756D68" w:rsidP="00756D68">
            <w:pPr>
              <w:pStyle w:val="Normal1"/>
              <w:jc w:val="center"/>
              <w:rPr>
                <w:szCs w:val="20"/>
                <w:lang w:val="pl-PL"/>
              </w:rPr>
            </w:pPr>
            <w:r w:rsidRPr="006A1C43">
              <w:rPr>
                <w:lang w:val="pl-PL"/>
              </w:rPr>
              <w:t>-0.043***</w:t>
            </w:r>
          </w:p>
        </w:tc>
        <w:tc>
          <w:tcPr>
            <w:tcW w:w="1130" w:type="dxa"/>
            <w:gridSpan w:val="2"/>
            <w:tcBorders>
              <w:top w:val="dotted" w:sz="4" w:space="0" w:color="auto"/>
              <w:left w:val="dotted" w:sz="4" w:space="0" w:color="auto"/>
              <w:bottom w:val="dotted" w:sz="4" w:space="0" w:color="auto"/>
              <w:right w:val="dotted" w:sz="4" w:space="0" w:color="auto"/>
            </w:tcBorders>
          </w:tcPr>
          <w:p w14:paraId="112D7221" w14:textId="77777777" w:rsidR="00756D68" w:rsidRPr="006A1C43" w:rsidRDefault="00756D68" w:rsidP="00756D68">
            <w:pPr>
              <w:pStyle w:val="Normal1"/>
              <w:jc w:val="center"/>
              <w:rPr>
                <w:szCs w:val="20"/>
                <w:lang w:val="pl-PL"/>
              </w:rPr>
            </w:pPr>
            <w:r w:rsidRPr="006A1C43">
              <w:rPr>
                <w:lang w:val="pl-PL"/>
              </w:rPr>
              <w:t>-0.003</w:t>
            </w:r>
          </w:p>
        </w:tc>
        <w:tc>
          <w:tcPr>
            <w:tcW w:w="1194" w:type="dxa"/>
            <w:gridSpan w:val="2"/>
            <w:tcBorders>
              <w:top w:val="dotted" w:sz="4" w:space="0" w:color="auto"/>
              <w:left w:val="dotted" w:sz="4" w:space="0" w:color="auto"/>
              <w:bottom w:val="dotted" w:sz="4" w:space="0" w:color="auto"/>
              <w:right w:val="single" w:sz="4" w:space="0" w:color="000000"/>
            </w:tcBorders>
          </w:tcPr>
          <w:p w14:paraId="1780123D" w14:textId="77777777" w:rsidR="00756D68" w:rsidRPr="006A1C43" w:rsidRDefault="00756D68" w:rsidP="00756D68">
            <w:pPr>
              <w:pStyle w:val="Normal1"/>
              <w:jc w:val="center"/>
              <w:rPr>
                <w:szCs w:val="20"/>
                <w:lang w:val="pl-PL"/>
              </w:rPr>
            </w:pPr>
            <w:r w:rsidRPr="006A1C43">
              <w:rPr>
                <w:lang w:val="pl-PL"/>
              </w:rPr>
              <w:t>0.014***</w:t>
            </w:r>
          </w:p>
        </w:tc>
      </w:tr>
      <w:tr w:rsidR="00756D68" w14:paraId="21F61760" w14:textId="77777777" w:rsidTr="000E7881">
        <w:trPr>
          <w:trHeight w:val="346"/>
        </w:trPr>
        <w:tc>
          <w:tcPr>
            <w:tcW w:w="744" w:type="dxa"/>
            <w:gridSpan w:val="2"/>
            <w:vMerge/>
            <w:tcBorders>
              <w:right w:val="dotted" w:sz="4" w:space="0" w:color="auto"/>
            </w:tcBorders>
            <w:shd w:val="clear" w:color="auto" w:fill="FFFF00"/>
          </w:tcPr>
          <w:p w14:paraId="21C1DA44"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tcPr>
          <w:p w14:paraId="24DF186E" w14:textId="1ABB3576" w:rsidR="00756D68" w:rsidRPr="006A1C43" w:rsidRDefault="00756D68" w:rsidP="006A1C43">
            <w:pPr>
              <w:pStyle w:val="Normal1"/>
              <w:jc w:val="center"/>
              <w:rPr>
                <w:szCs w:val="20"/>
                <w:lang w:val="pl-PL"/>
              </w:rPr>
            </w:pPr>
            <w:r w:rsidRPr="006A1C43">
              <w:rPr>
                <w:szCs w:val="20"/>
                <w:lang w:val="pl-PL"/>
              </w:rPr>
              <w:t xml:space="preserve">4 </w:t>
            </w:r>
            <w:r w:rsidR="006A1C43" w:rsidRPr="006A1C43">
              <w:rPr>
                <w:szCs w:val="20"/>
                <w:lang w:val="pl-PL"/>
              </w:rPr>
              <w:t>osoby</w:t>
            </w:r>
          </w:p>
        </w:tc>
        <w:tc>
          <w:tcPr>
            <w:tcW w:w="1044" w:type="dxa"/>
            <w:gridSpan w:val="2"/>
            <w:tcBorders>
              <w:top w:val="dotted" w:sz="4" w:space="0" w:color="auto"/>
              <w:left w:val="dotted" w:sz="4" w:space="0" w:color="auto"/>
              <w:bottom w:val="dotted" w:sz="4" w:space="0" w:color="auto"/>
              <w:right w:val="dotted" w:sz="4" w:space="0" w:color="auto"/>
            </w:tcBorders>
          </w:tcPr>
          <w:p w14:paraId="1DB8F081" w14:textId="77777777" w:rsidR="00756D68" w:rsidRPr="006A1C43" w:rsidRDefault="00756D68" w:rsidP="00756D68">
            <w:pPr>
              <w:pStyle w:val="Normal1"/>
              <w:jc w:val="center"/>
              <w:rPr>
                <w:szCs w:val="20"/>
                <w:lang w:val="pl-PL"/>
              </w:rPr>
            </w:pPr>
            <w:r w:rsidRPr="006A1C43">
              <w:rPr>
                <w:lang w:val="pl-PL"/>
              </w:rPr>
              <w:t>0.002</w:t>
            </w:r>
          </w:p>
        </w:tc>
        <w:tc>
          <w:tcPr>
            <w:tcW w:w="1130" w:type="dxa"/>
            <w:gridSpan w:val="2"/>
            <w:tcBorders>
              <w:top w:val="dotted" w:sz="4" w:space="0" w:color="auto"/>
              <w:left w:val="dotted" w:sz="4" w:space="0" w:color="auto"/>
              <w:bottom w:val="dotted" w:sz="4" w:space="0" w:color="auto"/>
              <w:right w:val="dotted" w:sz="4" w:space="0" w:color="auto"/>
            </w:tcBorders>
          </w:tcPr>
          <w:p w14:paraId="5AEF55B6" w14:textId="77777777" w:rsidR="00756D68" w:rsidRPr="006A1C43" w:rsidRDefault="00756D68" w:rsidP="00756D68">
            <w:pPr>
              <w:pStyle w:val="Normal1"/>
              <w:jc w:val="center"/>
              <w:rPr>
                <w:szCs w:val="20"/>
                <w:lang w:val="pl-PL"/>
              </w:rPr>
            </w:pPr>
            <w:r w:rsidRPr="006A1C43">
              <w:rPr>
                <w:lang w:val="pl-PL"/>
              </w:rPr>
              <w:t>-0.016***</w:t>
            </w:r>
          </w:p>
        </w:tc>
        <w:tc>
          <w:tcPr>
            <w:tcW w:w="1131" w:type="dxa"/>
            <w:tcBorders>
              <w:top w:val="dotted" w:sz="4" w:space="0" w:color="auto"/>
              <w:left w:val="dotted" w:sz="4" w:space="0" w:color="auto"/>
              <w:bottom w:val="dotted" w:sz="4" w:space="0" w:color="auto"/>
              <w:right w:val="dotted" w:sz="4" w:space="0" w:color="auto"/>
            </w:tcBorders>
          </w:tcPr>
          <w:p w14:paraId="2AB80095" w14:textId="77777777" w:rsidR="00756D68" w:rsidRPr="006A1C43" w:rsidRDefault="00756D68" w:rsidP="00756D68">
            <w:pPr>
              <w:pStyle w:val="Normal1"/>
              <w:jc w:val="center"/>
              <w:rPr>
                <w:szCs w:val="20"/>
                <w:lang w:val="pl-PL"/>
              </w:rPr>
            </w:pPr>
            <w:r w:rsidRPr="006A1C43">
              <w:rPr>
                <w:lang w:val="pl-PL"/>
              </w:rPr>
              <w:t>-0.077***</w:t>
            </w:r>
          </w:p>
        </w:tc>
        <w:tc>
          <w:tcPr>
            <w:tcW w:w="1130" w:type="dxa"/>
            <w:gridSpan w:val="2"/>
            <w:tcBorders>
              <w:top w:val="dotted" w:sz="4" w:space="0" w:color="auto"/>
              <w:left w:val="dotted" w:sz="4" w:space="0" w:color="auto"/>
              <w:bottom w:val="dotted" w:sz="4" w:space="0" w:color="auto"/>
              <w:right w:val="dotted" w:sz="4" w:space="0" w:color="auto"/>
            </w:tcBorders>
          </w:tcPr>
          <w:p w14:paraId="6FFB2952" w14:textId="77777777" w:rsidR="00756D68" w:rsidRPr="006A1C43" w:rsidRDefault="00756D68" w:rsidP="00756D68">
            <w:pPr>
              <w:pStyle w:val="Normal1"/>
              <w:jc w:val="center"/>
              <w:rPr>
                <w:szCs w:val="20"/>
                <w:lang w:val="pl-PL"/>
              </w:rPr>
            </w:pPr>
            <w:r w:rsidRPr="006A1C43">
              <w:rPr>
                <w:lang w:val="pl-PL"/>
              </w:rPr>
              <w:t>-0.004</w:t>
            </w:r>
          </w:p>
        </w:tc>
        <w:tc>
          <w:tcPr>
            <w:tcW w:w="1194" w:type="dxa"/>
            <w:gridSpan w:val="2"/>
            <w:tcBorders>
              <w:top w:val="dotted" w:sz="4" w:space="0" w:color="auto"/>
              <w:left w:val="dotted" w:sz="4" w:space="0" w:color="auto"/>
              <w:bottom w:val="dotted" w:sz="4" w:space="0" w:color="auto"/>
              <w:right w:val="single" w:sz="4" w:space="0" w:color="000000"/>
            </w:tcBorders>
          </w:tcPr>
          <w:p w14:paraId="116D1CC9" w14:textId="77777777" w:rsidR="00756D68" w:rsidRPr="006A1C43" w:rsidRDefault="00756D68" w:rsidP="00756D68">
            <w:pPr>
              <w:pStyle w:val="Normal1"/>
              <w:jc w:val="center"/>
              <w:rPr>
                <w:szCs w:val="20"/>
                <w:lang w:val="pl-PL"/>
              </w:rPr>
            </w:pPr>
            <w:r w:rsidRPr="006A1C43">
              <w:rPr>
                <w:lang w:val="pl-PL"/>
              </w:rPr>
              <w:t>0.020***</w:t>
            </w:r>
          </w:p>
        </w:tc>
      </w:tr>
      <w:tr w:rsidR="00756D68" w14:paraId="1B2324EB" w14:textId="77777777" w:rsidTr="000E7881">
        <w:trPr>
          <w:trHeight w:val="346"/>
        </w:trPr>
        <w:tc>
          <w:tcPr>
            <w:tcW w:w="744" w:type="dxa"/>
            <w:gridSpan w:val="2"/>
            <w:vMerge/>
            <w:tcBorders>
              <w:right w:val="dotted" w:sz="4" w:space="0" w:color="auto"/>
            </w:tcBorders>
            <w:shd w:val="clear" w:color="auto" w:fill="FFFF00"/>
          </w:tcPr>
          <w:p w14:paraId="78EB74DF" w14:textId="77777777" w:rsidR="00756D68" w:rsidRPr="00FD1BFF" w:rsidRDefault="00756D68" w:rsidP="00756D68">
            <w:pPr>
              <w:pStyle w:val="Normal1"/>
              <w:rPr>
                <w:szCs w:val="20"/>
              </w:rPr>
            </w:pPr>
          </w:p>
        </w:tc>
        <w:tc>
          <w:tcPr>
            <w:tcW w:w="2426" w:type="dxa"/>
            <w:tcBorders>
              <w:top w:val="dotted" w:sz="4" w:space="0" w:color="auto"/>
              <w:left w:val="dotted" w:sz="4" w:space="0" w:color="auto"/>
              <w:bottom w:val="dotted" w:sz="4" w:space="0" w:color="auto"/>
              <w:right w:val="dotted" w:sz="4" w:space="0" w:color="auto"/>
            </w:tcBorders>
          </w:tcPr>
          <w:p w14:paraId="7BEF7549" w14:textId="3859BB49" w:rsidR="00756D68" w:rsidRPr="006A1C43" w:rsidRDefault="00756D68" w:rsidP="006A1C43">
            <w:pPr>
              <w:pStyle w:val="Normal1"/>
              <w:jc w:val="center"/>
              <w:rPr>
                <w:szCs w:val="20"/>
                <w:lang w:val="pl-PL"/>
              </w:rPr>
            </w:pPr>
            <w:r w:rsidRPr="006A1C43">
              <w:rPr>
                <w:szCs w:val="20"/>
                <w:lang w:val="pl-PL"/>
              </w:rPr>
              <w:t xml:space="preserve">5 </w:t>
            </w:r>
            <w:r w:rsidR="006A1C43" w:rsidRPr="006A1C43">
              <w:rPr>
                <w:szCs w:val="20"/>
                <w:lang w:val="pl-PL"/>
              </w:rPr>
              <w:t>osób</w:t>
            </w:r>
          </w:p>
        </w:tc>
        <w:tc>
          <w:tcPr>
            <w:tcW w:w="1044" w:type="dxa"/>
            <w:gridSpan w:val="2"/>
            <w:tcBorders>
              <w:top w:val="dotted" w:sz="4" w:space="0" w:color="auto"/>
              <w:left w:val="dotted" w:sz="4" w:space="0" w:color="auto"/>
              <w:bottom w:val="dotted" w:sz="4" w:space="0" w:color="auto"/>
              <w:right w:val="dotted" w:sz="4" w:space="0" w:color="auto"/>
            </w:tcBorders>
          </w:tcPr>
          <w:p w14:paraId="2C736F7A" w14:textId="77777777" w:rsidR="00756D68" w:rsidRPr="006A1C43" w:rsidRDefault="00756D68" w:rsidP="00756D68">
            <w:pPr>
              <w:pStyle w:val="Normal1"/>
              <w:jc w:val="center"/>
              <w:rPr>
                <w:szCs w:val="20"/>
                <w:lang w:val="pl-PL"/>
              </w:rPr>
            </w:pPr>
            <w:r w:rsidRPr="006A1C43">
              <w:rPr>
                <w:lang w:val="pl-PL"/>
              </w:rPr>
              <w:t>-0.005</w:t>
            </w:r>
          </w:p>
        </w:tc>
        <w:tc>
          <w:tcPr>
            <w:tcW w:w="1130" w:type="dxa"/>
            <w:gridSpan w:val="2"/>
            <w:tcBorders>
              <w:top w:val="dotted" w:sz="4" w:space="0" w:color="auto"/>
              <w:left w:val="dotted" w:sz="4" w:space="0" w:color="auto"/>
              <w:bottom w:val="dotted" w:sz="4" w:space="0" w:color="auto"/>
              <w:right w:val="dotted" w:sz="4" w:space="0" w:color="auto"/>
            </w:tcBorders>
          </w:tcPr>
          <w:p w14:paraId="63885BD5" w14:textId="77777777" w:rsidR="00756D68" w:rsidRPr="006A1C43" w:rsidRDefault="00756D68" w:rsidP="00756D68">
            <w:pPr>
              <w:pStyle w:val="Normal1"/>
              <w:jc w:val="center"/>
              <w:rPr>
                <w:szCs w:val="20"/>
                <w:lang w:val="pl-PL"/>
              </w:rPr>
            </w:pPr>
            <w:r w:rsidRPr="006A1C43">
              <w:rPr>
                <w:lang w:val="pl-PL"/>
              </w:rPr>
              <w:t>-0.029***</w:t>
            </w:r>
          </w:p>
        </w:tc>
        <w:tc>
          <w:tcPr>
            <w:tcW w:w="1131" w:type="dxa"/>
            <w:tcBorders>
              <w:top w:val="dotted" w:sz="4" w:space="0" w:color="auto"/>
              <w:left w:val="dotted" w:sz="4" w:space="0" w:color="auto"/>
              <w:bottom w:val="dotted" w:sz="4" w:space="0" w:color="auto"/>
              <w:right w:val="dotted" w:sz="4" w:space="0" w:color="auto"/>
            </w:tcBorders>
          </w:tcPr>
          <w:p w14:paraId="0137E348" w14:textId="77777777" w:rsidR="00756D68" w:rsidRPr="006A1C43" w:rsidRDefault="00756D68" w:rsidP="00756D68">
            <w:pPr>
              <w:pStyle w:val="Normal1"/>
              <w:jc w:val="center"/>
              <w:rPr>
                <w:szCs w:val="20"/>
                <w:lang w:val="pl-PL"/>
              </w:rPr>
            </w:pPr>
            <w:r w:rsidRPr="006A1C43">
              <w:rPr>
                <w:lang w:val="pl-PL"/>
              </w:rPr>
              <w:t>-0.109***</w:t>
            </w:r>
          </w:p>
        </w:tc>
        <w:tc>
          <w:tcPr>
            <w:tcW w:w="1130" w:type="dxa"/>
            <w:gridSpan w:val="2"/>
            <w:tcBorders>
              <w:top w:val="dotted" w:sz="4" w:space="0" w:color="auto"/>
              <w:left w:val="dotted" w:sz="4" w:space="0" w:color="auto"/>
              <w:bottom w:val="dotted" w:sz="4" w:space="0" w:color="auto"/>
              <w:right w:val="dotted" w:sz="4" w:space="0" w:color="auto"/>
            </w:tcBorders>
          </w:tcPr>
          <w:p w14:paraId="58170005" w14:textId="77777777" w:rsidR="00756D68" w:rsidRPr="006A1C43" w:rsidRDefault="00756D68" w:rsidP="00756D68">
            <w:pPr>
              <w:pStyle w:val="Normal1"/>
              <w:jc w:val="center"/>
              <w:rPr>
                <w:szCs w:val="20"/>
                <w:lang w:val="pl-PL"/>
              </w:rPr>
            </w:pPr>
            <w:r w:rsidRPr="006A1C43">
              <w:rPr>
                <w:lang w:val="pl-PL"/>
              </w:rPr>
              <w:t>-0.004</w:t>
            </w:r>
          </w:p>
        </w:tc>
        <w:tc>
          <w:tcPr>
            <w:tcW w:w="1194" w:type="dxa"/>
            <w:gridSpan w:val="2"/>
            <w:tcBorders>
              <w:top w:val="dotted" w:sz="4" w:space="0" w:color="auto"/>
              <w:left w:val="dotted" w:sz="4" w:space="0" w:color="auto"/>
              <w:bottom w:val="dotted" w:sz="4" w:space="0" w:color="auto"/>
              <w:right w:val="single" w:sz="4" w:space="0" w:color="000000"/>
            </w:tcBorders>
          </w:tcPr>
          <w:p w14:paraId="0568A8DF" w14:textId="77777777" w:rsidR="00756D68" w:rsidRPr="006A1C43" w:rsidRDefault="00756D68" w:rsidP="00756D68">
            <w:pPr>
              <w:pStyle w:val="Normal1"/>
              <w:jc w:val="center"/>
              <w:rPr>
                <w:szCs w:val="20"/>
                <w:lang w:val="pl-PL"/>
              </w:rPr>
            </w:pPr>
            <w:r w:rsidRPr="006A1C43">
              <w:rPr>
                <w:lang w:val="pl-PL"/>
              </w:rPr>
              <w:t>0.042***</w:t>
            </w:r>
          </w:p>
        </w:tc>
      </w:tr>
      <w:tr w:rsidR="00756D68" w14:paraId="27715B00" w14:textId="77777777" w:rsidTr="000E7881">
        <w:trPr>
          <w:trHeight w:val="346"/>
        </w:trPr>
        <w:tc>
          <w:tcPr>
            <w:tcW w:w="726" w:type="dxa"/>
            <w:vMerge w:val="restart"/>
            <w:tcBorders>
              <w:right w:val="dotted" w:sz="4" w:space="0" w:color="auto"/>
            </w:tcBorders>
            <w:shd w:val="clear" w:color="auto" w:fill="FFFF00"/>
            <w:textDirection w:val="btLr"/>
          </w:tcPr>
          <w:p w14:paraId="34545E51" w14:textId="74D1EFBE" w:rsidR="00756D68" w:rsidRPr="006A1C43" w:rsidRDefault="006A1C43" w:rsidP="00756D68">
            <w:pPr>
              <w:pStyle w:val="Normal1"/>
              <w:ind w:left="113" w:right="113"/>
              <w:jc w:val="center"/>
              <w:rPr>
                <w:b/>
                <w:szCs w:val="20"/>
                <w:lang w:val="pl-PL"/>
              </w:rPr>
            </w:pPr>
            <w:r w:rsidRPr="006A1C43">
              <w:rPr>
                <w:b/>
                <w:szCs w:val="20"/>
                <w:lang w:val="pl-PL"/>
              </w:rPr>
              <w:t>główne źródło utrzymania gospodarstwa</w:t>
            </w:r>
          </w:p>
        </w:tc>
        <w:tc>
          <w:tcPr>
            <w:tcW w:w="8073" w:type="dxa"/>
            <w:gridSpan w:val="11"/>
            <w:tcBorders>
              <w:top w:val="dotted" w:sz="4" w:space="0" w:color="auto"/>
              <w:left w:val="dotted" w:sz="4" w:space="0" w:color="auto"/>
              <w:bottom w:val="dotted" w:sz="4" w:space="0" w:color="auto"/>
              <w:right w:val="single" w:sz="4" w:space="0" w:color="000000"/>
            </w:tcBorders>
            <w:shd w:val="clear" w:color="auto" w:fill="D9D9D9" w:themeFill="background1" w:themeFillShade="D9"/>
          </w:tcPr>
          <w:p w14:paraId="23B30FC9" w14:textId="0F2F2E4E" w:rsidR="00756D68" w:rsidRPr="006A1C43" w:rsidRDefault="00756D68" w:rsidP="00756D68">
            <w:pPr>
              <w:pStyle w:val="Normal1"/>
              <w:jc w:val="left"/>
              <w:rPr>
                <w:szCs w:val="20"/>
                <w:lang w:val="pl-PL"/>
              </w:rPr>
            </w:pPr>
            <w:r w:rsidRPr="006A1C43">
              <w:rPr>
                <w:szCs w:val="20"/>
                <w:lang w:val="pl-PL"/>
              </w:rPr>
              <w:t xml:space="preserve">REF: </w:t>
            </w:r>
            <w:r w:rsidR="006A1C43" w:rsidRPr="00ED506B">
              <w:rPr>
                <w:color w:val="000000"/>
                <w:szCs w:val="20"/>
                <w:lang w:val="pl-PL"/>
              </w:rPr>
              <w:t>praca najemna na stanowisku robotniczym</w:t>
            </w:r>
          </w:p>
        </w:tc>
      </w:tr>
      <w:tr w:rsidR="00756D68" w14:paraId="29374146" w14:textId="77777777" w:rsidTr="000E7881">
        <w:trPr>
          <w:trHeight w:val="346"/>
        </w:trPr>
        <w:tc>
          <w:tcPr>
            <w:tcW w:w="726" w:type="dxa"/>
            <w:vMerge/>
            <w:tcBorders>
              <w:right w:val="dotted" w:sz="4" w:space="0" w:color="auto"/>
            </w:tcBorders>
            <w:shd w:val="clear" w:color="auto" w:fill="FFFF00"/>
          </w:tcPr>
          <w:p w14:paraId="42BCE5B1" w14:textId="77777777" w:rsidR="00756D68" w:rsidRPr="00BC6FBB" w:rsidRDefault="00756D68" w:rsidP="00756D68">
            <w:pPr>
              <w:pStyle w:val="Normal1"/>
              <w:rPr>
                <w:szCs w:val="20"/>
                <w:lang w:val="pl-PL"/>
              </w:rPr>
            </w:pPr>
          </w:p>
        </w:tc>
        <w:tc>
          <w:tcPr>
            <w:tcW w:w="2543" w:type="dxa"/>
            <w:gridSpan w:val="3"/>
            <w:tcBorders>
              <w:top w:val="dotted" w:sz="4" w:space="0" w:color="auto"/>
              <w:left w:val="dotted" w:sz="4" w:space="0" w:color="auto"/>
              <w:bottom w:val="dotted" w:sz="4" w:space="0" w:color="auto"/>
              <w:right w:val="dotted" w:sz="4" w:space="0" w:color="auto"/>
            </w:tcBorders>
          </w:tcPr>
          <w:p w14:paraId="63C49735" w14:textId="41C57F22" w:rsidR="00756D68" w:rsidRPr="00BC6FBB" w:rsidRDefault="006A1C43" w:rsidP="00756D68">
            <w:pPr>
              <w:pStyle w:val="Normal1"/>
              <w:jc w:val="center"/>
              <w:rPr>
                <w:szCs w:val="20"/>
                <w:lang w:val="pl-PL"/>
              </w:rPr>
            </w:pPr>
            <w:r w:rsidRPr="00ED506B">
              <w:rPr>
                <w:color w:val="000000"/>
                <w:szCs w:val="20"/>
                <w:lang w:val="pl-PL"/>
              </w:rPr>
              <w:t>praca najemna na stanowisku nierobotniczym</w:t>
            </w:r>
          </w:p>
        </w:tc>
        <w:tc>
          <w:tcPr>
            <w:tcW w:w="1052" w:type="dxa"/>
            <w:gridSpan w:val="2"/>
            <w:tcBorders>
              <w:top w:val="dotted" w:sz="4" w:space="0" w:color="auto"/>
              <w:left w:val="dotted" w:sz="4" w:space="0" w:color="auto"/>
              <w:bottom w:val="dotted" w:sz="4" w:space="0" w:color="auto"/>
              <w:right w:val="dotted" w:sz="4" w:space="0" w:color="auto"/>
            </w:tcBorders>
          </w:tcPr>
          <w:p w14:paraId="07E9B947" w14:textId="77777777" w:rsidR="00756D68" w:rsidRPr="00AD3D8C" w:rsidRDefault="00756D68" w:rsidP="00756D68">
            <w:pPr>
              <w:pStyle w:val="Normal1"/>
              <w:jc w:val="center"/>
              <w:rPr>
                <w:szCs w:val="20"/>
              </w:rPr>
            </w:pPr>
            <w:r w:rsidRPr="00CF4F36">
              <w:t>-0.007*</w:t>
            </w:r>
          </w:p>
        </w:tc>
        <w:tc>
          <w:tcPr>
            <w:tcW w:w="1028" w:type="dxa"/>
            <w:tcBorders>
              <w:top w:val="dotted" w:sz="4" w:space="0" w:color="auto"/>
              <w:left w:val="dotted" w:sz="4" w:space="0" w:color="auto"/>
              <w:bottom w:val="dotted" w:sz="4" w:space="0" w:color="auto"/>
              <w:right w:val="dotted" w:sz="4" w:space="0" w:color="auto"/>
            </w:tcBorders>
          </w:tcPr>
          <w:p w14:paraId="2C759749" w14:textId="77777777" w:rsidR="00756D68" w:rsidRPr="00AD3D8C" w:rsidRDefault="00756D68" w:rsidP="00756D68">
            <w:pPr>
              <w:pStyle w:val="Normal1"/>
              <w:jc w:val="center"/>
              <w:rPr>
                <w:szCs w:val="20"/>
              </w:rPr>
            </w:pPr>
            <w:r w:rsidRPr="00CF4F36">
              <w:t>0.003</w:t>
            </w:r>
          </w:p>
        </w:tc>
        <w:tc>
          <w:tcPr>
            <w:tcW w:w="1167" w:type="dxa"/>
            <w:gridSpan w:val="2"/>
            <w:tcBorders>
              <w:top w:val="dotted" w:sz="4" w:space="0" w:color="auto"/>
              <w:left w:val="dotted" w:sz="4" w:space="0" w:color="auto"/>
              <w:bottom w:val="dotted" w:sz="4" w:space="0" w:color="auto"/>
              <w:right w:val="dotted" w:sz="4" w:space="0" w:color="auto"/>
            </w:tcBorders>
          </w:tcPr>
          <w:p w14:paraId="363991BA" w14:textId="77777777" w:rsidR="00756D68" w:rsidRPr="00AD3D8C" w:rsidRDefault="00756D68" w:rsidP="00756D68">
            <w:pPr>
              <w:pStyle w:val="Normal1"/>
              <w:jc w:val="center"/>
              <w:rPr>
                <w:szCs w:val="20"/>
              </w:rPr>
            </w:pPr>
            <w:r w:rsidRPr="00CF4F36">
              <w:t>-0.007</w:t>
            </w:r>
          </w:p>
        </w:tc>
        <w:tc>
          <w:tcPr>
            <w:tcW w:w="1134" w:type="dxa"/>
            <w:gridSpan w:val="2"/>
            <w:tcBorders>
              <w:top w:val="dotted" w:sz="4" w:space="0" w:color="auto"/>
              <w:left w:val="dotted" w:sz="4" w:space="0" w:color="auto"/>
              <w:bottom w:val="dotted" w:sz="4" w:space="0" w:color="auto"/>
              <w:right w:val="dotted" w:sz="4" w:space="0" w:color="auto"/>
            </w:tcBorders>
          </w:tcPr>
          <w:p w14:paraId="59986DFA" w14:textId="77777777" w:rsidR="00756D68" w:rsidRPr="00AD3D8C" w:rsidRDefault="00756D68" w:rsidP="00756D68">
            <w:pPr>
              <w:pStyle w:val="Normal1"/>
              <w:jc w:val="center"/>
              <w:rPr>
                <w:szCs w:val="20"/>
              </w:rPr>
            </w:pPr>
            <w:r w:rsidRPr="00CF4F36">
              <w:t>-0.011***</w:t>
            </w:r>
          </w:p>
        </w:tc>
        <w:tc>
          <w:tcPr>
            <w:tcW w:w="1149" w:type="dxa"/>
            <w:tcBorders>
              <w:top w:val="dotted" w:sz="4" w:space="0" w:color="auto"/>
              <w:left w:val="dotted" w:sz="4" w:space="0" w:color="auto"/>
              <w:bottom w:val="dotted" w:sz="4" w:space="0" w:color="auto"/>
              <w:right w:val="single" w:sz="4" w:space="0" w:color="000000"/>
            </w:tcBorders>
          </w:tcPr>
          <w:p w14:paraId="47BFEEC1" w14:textId="77777777" w:rsidR="00756D68" w:rsidRPr="00AD3D8C" w:rsidRDefault="00756D68" w:rsidP="00756D68">
            <w:pPr>
              <w:pStyle w:val="Normal1"/>
              <w:jc w:val="center"/>
              <w:rPr>
                <w:szCs w:val="20"/>
              </w:rPr>
            </w:pPr>
            <w:r w:rsidRPr="00CF4F36">
              <w:t>-0.011**</w:t>
            </w:r>
          </w:p>
        </w:tc>
      </w:tr>
      <w:tr w:rsidR="00756D68" w14:paraId="19F51487" w14:textId="77777777" w:rsidTr="000E7881">
        <w:trPr>
          <w:trHeight w:val="346"/>
        </w:trPr>
        <w:tc>
          <w:tcPr>
            <w:tcW w:w="726" w:type="dxa"/>
            <w:vMerge/>
            <w:tcBorders>
              <w:right w:val="dotted" w:sz="4" w:space="0" w:color="auto"/>
            </w:tcBorders>
            <w:shd w:val="clear" w:color="auto" w:fill="FFFF00"/>
          </w:tcPr>
          <w:p w14:paraId="47CFE821"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tcPr>
          <w:p w14:paraId="0E0921B1" w14:textId="0A3AF0CE" w:rsidR="00756D68" w:rsidRPr="00AD3D8C" w:rsidRDefault="006A1C43" w:rsidP="00756D68">
            <w:pPr>
              <w:pStyle w:val="Normal1"/>
              <w:jc w:val="center"/>
              <w:rPr>
                <w:szCs w:val="20"/>
              </w:rPr>
            </w:pPr>
            <w:r w:rsidRPr="00ED506B">
              <w:rPr>
                <w:color w:val="000000"/>
                <w:szCs w:val="20"/>
                <w:lang w:val="pl-PL"/>
              </w:rPr>
              <w:t>użytkowanie gospodarstwa rolnego</w:t>
            </w:r>
          </w:p>
        </w:tc>
        <w:tc>
          <w:tcPr>
            <w:tcW w:w="1052" w:type="dxa"/>
            <w:gridSpan w:val="2"/>
            <w:tcBorders>
              <w:top w:val="dotted" w:sz="4" w:space="0" w:color="auto"/>
              <w:left w:val="dotted" w:sz="4" w:space="0" w:color="auto"/>
              <w:bottom w:val="dotted" w:sz="4" w:space="0" w:color="auto"/>
              <w:right w:val="dotted" w:sz="4" w:space="0" w:color="auto"/>
            </w:tcBorders>
          </w:tcPr>
          <w:p w14:paraId="0F5E45C4" w14:textId="77777777" w:rsidR="00756D68" w:rsidRPr="00AD3D8C" w:rsidRDefault="00756D68" w:rsidP="00756D68">
            <w:pPr>
              <w:pStyle w:val="Normal1"/>
              <w:jc w:val="center"/>
              <w:rPr>
                <w:szCs w:val="20"/>
              </w:rPr>
            </w:pPr>
            <w:r w:rsidRPr="00CF4F36">
              <w:t>0.005</w:t>
            </w:r>
          </w:p>
        </w:tc>
        <w:tc>
          <w:tcPr>
            <w:tcW w:w="1028" w:type="dxa"/>
            <w:tcBorders>
              <w:top w:val="dotted" w:sz="4" w:space="0" w:color="auto"/>
              <w:left w:val="dotted" w:sz="4" w:space="0" w:color="auto"/>
              <w:bottom w:val="dotted" w:sz="4" w:space="0" w:color="auto"/>
              <w:right w:val="dotted" w:sz="4" w:space="0" w:color="auto"/>
            </w:tcBorders>
          </w:tcPr>
          <w:p w14:paraId="2EA7281A" w14:textId="77777777" w:rsidR="00756D68" w:rsidRPr="00AD3D8C" w:rsidRDefault="00756D68" w:rsidP="00756D68">
            <w:pPr>
              <w:pStyle w:val="Normal1"/>
              <w:jc w:val="center"/>
              <w:rPr>
                <w:szCs w:val="20"/>
              </w:rPr>
            </w:pPr>
            <w:r w:rsidRPr="00CF4F36">
              <w:t>0.002</w:t>
            </w:r>
          </w:p>
        </w:tc>
        <w:tc>
          <w:tcPr>
            <w:tcW w:w="1167" w:type="dxa"/>
            <w:gridSpan w:val="2"/>
            <w:tcBorders>
              <w:top w:val="dotted" w:sz="4" w:space="0" w:color="auto"/>
              <w:left w:val="dotted" w:sz="4" w:space="0" w:color="auto"/>
              <w:bottom w:val="dotted" w:sz="4" w:space="0" w:color="auto"/>
              <w:right w:val="dotted" w:sz="4" w:space="0" w:color="auto"/>
            </w:tcBorders>
          </w:tcPr>
          <w:p w14:paraId="5DBA3440" w14:textId="77777777" w:rsidR="00756D68" w:rsidRPr="00AD3D8C" w:rsidRDefault="00756D68" w:rsidP="00756D68">
            <w:pPr>
              <w:pStyle w:val="Normal1"/>
              <w:jc w:val="center"/>
              <w:rPr>
                <w:szCs w:val="20"/>
              </w:rPr>
            </w:pPr>
            <w:r w:rsidRPr="00CF4F36">
              <w:t>-0.006</w:t>
            </w:r>
          </w:p>
        </w:tc>
        <w:tc>
          <w:tcPr>
            <w:tcW w:w="1134" w:type="dxa"/>
            <w:gridSpan w:val="2"/>
            <w:tcBorders>
              <w:top w:val="dotted" w:sz="4" w:space="0" w:color="auto"/>
              <w:left w:val="dotted" w:sz="4" w:space="0" w:color="auto"/>
              <w:bottom w:val="dotted" w:sz="4" w:space="0" w:color="auto"/>
              <w:right w:val="dotted" w:sz="4" w:space="0" w:color="auto"/>
            </w:tcBorders>
          </w:tcPr>
          <w:p w14:paraId="4B736E0A" w14:textId="77777777" w:rsidR="00756D68" w:rsidRPr="00AD3D8C" w:rsidRDefault="00756D68" w:rsidP="00756D68">
            <w:pPr>
              <w:pStyle w:val="Normal1"/>
              <w:jc w:val="center"/>
              <w:rPr>
                <w:szCs w:val="20"/>
              </w:rPr>
            </w:pPr>
            <w:r w:rsidRPr="00CF4F36">
              <w:t>-0.017**</w:t>
            </w:r>
          </w:p>
        </w:tc>
        <w:tc>
          <w:tcPr>
            <w:tcW w:w="1149" w:type="dxa"/>
            <w:tcBorders>
              <w:top w:val="dotted" w:sz="4" w:space="0" w:color="auto"/>
              <w:left w:val="dotted" w:sz="4" w:space="0" w:color="auto"/>
              <w:bottom w:val="dotted" w:sz="4" w:space="0" w:color="auto"/>
              <w:right w:val="single" w:sz="4" w:space="0" w:color="000000"/>
            </w:tcBorders>
          </w:tcPr>
          <w:p w14:paraId="265159F7" w14:textId="77777777" w:rsidR="00756D68" w:rsidRPr="00AD3D8C" w:rsidRDefault="00756D68" w:rsidP="00756D68">
            <w:pPr>
              <w:pStyle w:val="Normal1"/>
              <w:jc w:val="center"/>
              <w:rPr>
                <w:szCs w:val="20"/>
              </w:rPr>
            </w:pPr>
            <w:r w:rsidRPr="00CF4F36">
              <w:t>-0.023***</w:t>
            </w:r>
          </w:p>
        </w:tc>
      </w:tr>
      <w:tr w:rsidR="00756D68" w14:paraId="3D28CD51" w14:textId="77777777" w:rsidTr="000E7881">
        <w:trPr>
          <w:trHeight w:val="346"/>
        </w:trPr>
        <w:tc>
          <w:tcPr>
            <w:tcW w:w="726" w:type="dxa"/>
            <w:vMerge/>
            <w:tcBorders>
              <w:right w:val="dotted" w:sz="4" w:space="0" w:color="auto"/>
            </w:tcBorders>
            <w:shd w:val="clear" w:color="auto" w:fill="FFFF00"/>
          </w:tcPr>
          <w:p w14:paraId="6A213091"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tcPr>
          <w:p w14:paraId="16512D5B" w14:textId="395F8B82" w:rsidR="00756D68" w:rsidRPr="00AD3D8C" w:rsidRDefault="006A1C43" w:rsidP="00756D68">
            <w:pPr>
              <w:pStyle w:val="Normal1"/>
              <w:jc w:val="center"/>
              <w:rPr>
                <w:szCs w:val="20"/>
              </w:rPr>
            </w:pPr>
            <w:r w:rsidRPr="00ED506B">
              <w:rPr>
                <w:color w:val="000000"/>
                <w:szCs w:val="20"/>
                <w:lang w:val="pl-PL"/>
              </w:rPr>
              <w:t>praca na własny rachunek</w:t>
            </w:r>
          </w:p>
        </w:tc>
        <w:tc>
          <w:tcPr>
            <w:tcW w:w="1052" w:type="dxa"/>
            <w:gridSpan w:val="2"/>
            <w:tcBorders>
              <w:top w:val="dotted" w:sz="4" w:space="0" w:color="auto"/>
              <w:left w:val="dotted" w:sz="4" w:space="0" w:color="auto"/>
              <w:bottom w:val="dotted" w:sz="4" w:space="0" w:color="auto"/>
              <w:right w:val="dotted" w:sz="4" w:space="0" w:color="auto"/>
            </w:tcBorders>
          </w:tcPr>
          <w:p w14:paraId="4345A724" w14:textId="77777777" w:rsidR="00756D68" w:rsidRPr="00AD3D8C" w:rsidRDefault="00756D68" w:rsidP="00756D68">
            <w:pPr>
              <w:pStyle w:val="Normal1"/>
              <w:jc w:val="center"/>
              <w:rPr>
                <w:szCs w:val="20"/>
              </w:rPr>
            </w:pPr>
            <w:r w:rsidRPr="00CF4F36">
              <w:t>-0.021***</w:t>
            </w:r>
          </w:p>
        </w:tc>
        <w:tc>
          <w:tcPr>
            <w:tcW w:w="1028" w:type="dxa"/>
            <w:tcBorders>
              <w:top w:val="dotted" w:sz="4" w:space="0" w:color="auto"/>
              <w:left w:val="dotted" w:sz="4" w:space="0" w:color="auto"/>
              <w:bottom w:val="dotted" w:sz="4" w:space="0" w:color="auto"/>
              <w:right w:val="dotted" w:sz="4" w:space="0" w:color="auto"/>
            </w:tcBorders>
          </w:tcPr>
          <w:p w14:paraId="6229FAED" w14:textId="77777777" w:rsidR="00756D68" w:rsidRPr="00AD3D8C" w:rsidRDefault="00756D68" w:rsidP="00756D68">
            <w:pPr>
              <w:pStyle w:val="Normal1"/>
              <w:jc w:val="center"/>
              <w:rPr>
                <w:szCs w:val="20"/>
              </w:rPr>
            </w:pPr>
            <w:r w:rsidRPr="00CF4F36">
              <w:t>0.001</w:t>
            </w:r>
          </w:p>
        </w:tc>
        <w:tc>
          <w:tcPr>
            <w:tcW w:w="1167" w:type="dxa"/>
            <w:gridSpan w:val="2"/>
            <w:tcBorders>
              <w:top w:val="dotted" w:sz="4" w:space="0" w:color="auto"/>
              <w:left w:val="dotted" w:sz="4" w:space="0" w:color="auto"/>
              <w:bottom w:val="dotted" w:sz="4" w:space="0" w:color="auto"/>
              <w:right w:val="dotted" w:sz="4" w:space="0" w:color="auto"/>
            </w:tcBorders>
          </w:tcPr>
          <w:p w14:paraId="7F8C30AF" w14:textId="77777777" w:rsidR="00756D68" w:rsidRPr="00AD3D8C" w:rsidRDefault="00756D68" w:rsidP="00756D68">
            <w:pPr>
              <w:pStyle w:val="Normal1"/>
              <w:jc w:val="center"/>
              <w:rPr>
                <w:szCs w:val="20"/>
              </w:rPr>
            </w:pPr>
            <w:r w:rsidRPr="00CF4F36">
              <w:t>0.021**</w:t>
            </w:r>
          </w:p>
        </w:tc>
        <w:tc>
          <w:tcPr>
            <w:tcW w:w="1134" w:type="dxa"/>
            <w:gridSpan w:val="2"/>
            <w:tcBorders>
              <w:top w:val="dotted" w:sz="4" w:space="0" w:color="auto"/>
              <w:left w:val="dotted" w:sz="4" w:space="0" w:color="auto"/>
              <w:bottom w:val="dotted" w:sz="4" w:space="0" w:color="auto"/>
              <w:right w:val="dotted" w:sz="4" w:space="0" w:color="auto"/>
            </w:tcBorders>
          </w:tcPr>
          <w:p w14:paraId="40349A91" w14:textId="77777777" w:rsidR="00756D68" w:rsidRPr="00AD3D8C" w:rsidRDefault="00756D68" w:rsidP="00756D68">
            <w:pPr>
              <w:pStyle w:val="Normal1"/>
              <w:jc w:val="center"/>
              <w:rPr>
                <w:szCs w:val="20"/>
              </w:rPr>
            </w:pPr>
            <w:r w:rsidRPr="00CF4F36">
              <w:t>-0.007</w:t>
            </w:r>
          </w:p>
        </w:tc>
        <w:tc>
          <w:tcPr>
            <w:tcW w:w="1149" w:type="dxa"/>
            <w:tcBorders>
              <w:top w:val="dotted" w:sz="4" w:space="0" w:color="auto"/>
              <w:left w:val="dotted" w:sz="4" w:space="0" w:color="auto"/>
              <w:bottom w:val="dotted" w:sz="4" w:space="0" w:color="auto"/>
              <w:right w:val="single" w:sz="4" w:space="0" w:color="000000"/>
            </w:tcBorders>
          </w:tcPr>
          <w:p w14:paraId="3D1A8338" w14:textId="77777777" w:rsidR="00756D68" w:rsidRPr="00AD3D8C" w:rsidRDefault="00756D68" w:rsidP="00756D68">
            <w:pPr>
              <w:pStyle w:val="Normal1"/>
              <w:jc w:val="center"/>
              <w:rPr>
                <w:szCs w:val="20"/>
              </w:rPr>
            </w:pPr>
            <w:r w:rsidRPr="00CF4F36">
              <w:t>-0.032***</w:t>
            </w:r>
          </w:p>
        </w:tc>
      </w:tr>
      <w:tr w:rsidR="00756D68" w14:paraId="2F6DDE9E" w14:textId="77777777" w:rsidTr="000E7881">
        <w:trPr>
          <w:trHeight w:val="346"/>
        </w:trPr>
        <w:tc>
          <w:tcPr>
            <w:tcW w:w="726" w:type="dxa"/>
            <w:vMerge/>
            <w:tcBorders>
              <w:right w:val="dotted" w:sz="4" w:space="0" w:color="auto"/>
            </w:tcBorders>
            <w:shd w:val="clear" w:color="auto" w:fill="FFFF00"/>
          </w:tcPr>
          <w:p w14:paraId="61596B53"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tcPr>
          <w:p w14:paraId="3E773342" w14:textId="3420381B" w:rsidR="00756D68" w:rsidRPr="00AD3D8C" w:rsidRDefault="006A1C43" w:rsidP="006A1C43">
            <w:pPr>
              <w:pStyle w:val="Normal1"/>
              <w:jc w:val="center"/>
              <w:rPr>
                <w:szCs w:val="20"/>
              </w:rPr>
            </w:pPr>
            <w:r>
              <w:rPr>
                <w:color w:val="000000"/>
                <w:szCs w:val="20"/>
                <w:lang w:val="pl-PL"/>
              </w:rPr>
              <w:t>emerytura lub</w:t>
            </w:r>
            <w:r w:rsidRPr="00ED506B">
              <w:rPr>
                <w:color w:val="000000"/>
                <w:szCs w:val="20"/>
                <w:lang w:val="pl-PL"/>
              </w:rPr>
              <w:t xml:space="preserve"> renta</w:t>
            </w:r>
          </w:p>
        </w:tc>
        <w:tc>
          <w:tcPr>
            <w:tcW w:w="1052" w:type="dxa"/>
            <w:gridSpan w:val="2"/>
            <w:tcBorders>
              <w:top w:val="dotted" w:sz="4" w:space="0" w:color="auto"/>
              <w:left w:val="dotted" w:sz="4" w:space="0" w:color="auto"/>
              <w:bottom w:val="dotted" w:sz="4" w:space="0" w:color="auto"/>
              <w:right w:val="dotted" w:sz="4" w:space="0" w:color="auto"/>
            </w:tcBorders>
          </w:tcPr>
          <w:p w14:paraId="7DF63839" w14:textId="77777777" w:rsidR="00756D68" w:rsidRPr="00AD3D8C" w:rsidRDefault="00756D68" w:rsidP="00756D68">
            <w:pPr>
              <w:pStyle w:val="Normal1"/>
              <w:jc w:val="center"/>
              <w:rPr>
                <w:szCs w:val="20"/>
              </w:rPr>
            </w:pPr>
            <w:r w:rsidRPr="00CF4F36">
              <w:t>-0.000</w:t>
            </w:r>
          </w:p>
        </w:tc>
        <w:tc>
          <w:tcPr>
            <w:tcW w:w="1028" w:type="dxa"/>
            <w:tcBorders>
              <w:top w:val="dotted" w:sz="4" w:space="0" w:color="auto"/>
              <w:left w:val="dotted" w:sz="4" w:space="0" w:color="auto"/>
              <w:bottom w:val="dotted" w:sz="4" w:space="0" w:color="auto"/>
              <w:right w:val="dotted" w:sz="4" w:space="0" w:color="auto"/>
            </w:tcBorders>
          </w:tcPr>
          <w:p w14:paraId="69D7ED52" w14:textId="77777777" w:rsidR="00756D68" w:rsidRPr="00AD3D8C" w:rsidRDefault="00756D68" w:rsidP="00756D68">
            <w:pPr>
              <w:pStyle w:val="Normal1"/>
              <w:jc w:val="center"/>
              <w:rPr>
                <w:szCs w:val="20"/>
              </w:rPr>
            </w:pPr>
            <w:r w:rsidRPr="00CF4F36">
              <w:t>0.003</w:t>
            </w:r>
          </w:p>
        </w:tc>
        <w:tc>
          <w:tcPr>
            <w:tcW w:w="1167" w:type="dxa"/>
            <w:gridSpan w:val="2"/>
            <w:tcBorders>
              <w:top w:val="dotted" w:sz="4" w:space="0" w:color="auto"/>
              <w:left w:val="dotted" w:sz="4" w:space="0" w:color="auto"/>
              <w:bottom w:val="dotted" w:sz="4" w:space="0" w:color="auto"/>
              <w:right w:val="dotted" w:sz="4" w:space="0" w:color="auto"/>
            </w:tcBorders>
          </w:tcPr>
          <w:p w14:paraId="1BB8647E" w14:textId="77777777" w:rsidR="00756D68" w:rsidRPr="00AD3D8C" w:rsidRDefault="00756D68" w:rsidP="00756D68">
            <w:pPr>
              <w:pStyle w:val="Normal1"/>
              <w:jc w:val="center"/>
              <w:rPr>
                <w:szCs w:val="20"/>
              </w:rPr>
            </w:pPr>
            <w:r w:rsidRPr="00CF4F36">
              <w:t>0.037***</w:t>
            </w:r>
          </w:p>
        </w:tc>
        <w:tc>
          <w:tcPr>
            <w:tcW w:w="1134" w:type="dxa"/>
            <w:gridSpan w:val="2"/>
            <w:tcBorders>
              <w:top w:val="dotted" w:sz="4" w:space="0" w:color="auto"/>
              <w:left w:val="dotted" w:sz="4" w:space="0" w:color="auto"/>
              <w:bottom w:val="dotted" w:sz="4" w:space="0" w:color="auto"/>
              <w:right w:val="dotted" w:sz="4" w:space="0" w:color="auto"/>
            </w:tcBorders>
          </w:tcPr>
          <w:p w14:paraId="0BF3F95D" w14:textId="77777777" w:rsidR="00756D68" w:rsidRPr="00AD3D8C" w:rsidRDefault="00756D68" w:rsidP="00756D68">
            <w:pPr>
              <w:pStyle w:val="Normal1"/>
              <w:jc w:val="center"/>
              <w:rPr>
                <w:szCs w:val="20"/>
              </w:rPr>
            </w:pPr>
            <w:r w:rsidRPr="00CF4F36">
              <w:t>-0.011***</w:t>
            </w:r>
          </w:p>
        </w:tc>
        <w:tc>
          <w:tcPr>
            <w:tcW w:w="1149" w:type="dxa"/>
            <w:tcBorders>
              <w:top w:val="dotted" w:sz="4" w:space="0" w:color="auto"/>
              <w:left w:val="dotted" w:sz="4" w:space="0" w:color="auto"/>
              <w:bottom w:val="dotted" w:sz="4" w:space="0" w:color="auto"/>
              <w:right w:val="single" w:sz="4" w:space="0" w:color="000000"/>
            </w:tcBorders>
          </w:tcPr>
          <w:p w14:paraId="29B2121E" w14:textId="77777777" w:rsidR="00756D68" w:rsidRPr="00AD3D8C" w:rsidRDefault="00756D68" w:rsidP="00756D68">
            <w:pPr>
              <w:pStyle w:val="Normal1"/>
              <w:jc w:val="center"/>
              <w:rPr>
                <w:szCs w:val="20"/>
              </w:rPr>
            </w:pPr>
            <w:r w:rsidRPr="00CF4F36">
              <w:t>-0.016***</w:t>
            </w:r>
          </w:p>
        </w:tc>
      </w:tr>
      <w:tr w:rsidR="00756D68" w14:paraId="74357667" w14:textId="77777777" w:rsidTr="000E7881">
        <w:trPr>
          <w:trHeight w:val="759"/>
        </w:trPr>
        <w:tc>
          <w:tcPr>
            <w:tcW w:w="726" w:type="dxa"/>
            <w:vMerge/>
            <w:tcBorders>
              <w:right w:val="dotted" w:sz="4" w:space="0" w:color="auto"/>
            </w:tcBorders>
            <w:shd w:val="clear" w:color="auto" w:fill="FFFF00"/>
          </w:tcPr>
          <w:p w14:paraId="25022572"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tcPr>
          <w:p w14:paraId="5E635C48" w14:textId="064EA601" w:rsidR="00756D68" w:rsidRPr="00AD3D8C" w:rsidRDefault="006A1C43" w:rsidP="00756D68">
            <w:pPr>
              <w:pStyle w:val="Normal1"/>
              <w:jc w:val="center"/>
              <w:rPr>
                <w:szCs w:val="20"/>
              </w:rPr>
            </w:pPr>
            <w:r w:rsidRPr="00ED506B">
              <w:rPr>
                <w:color w:val="000000"/>
                <w:szCs w:val="20"/>
                <w:lang w:val="pl-PL"/>
              </w:rPr>
              <w:t>inne niezarobkowe źródło</w:t>
            </w:r>
          </w:p>
        </w:tc>
        <w:tc>
          <w:tcPr>
            <w:tcW w:w="1052" w:type="dxa"/>
            <w:gridSpan w:val="2"/>
            <w:tcBorders>
              <w:top w:val="dotted" w:sz="4" w:space="0" w:color="auto"/>
              <w:left w:val="dotted" w:sz="4" w:space="0" w:color="auto"/>
              <w:bottom w:val="dotted" w:sz="4" w:space="0" w:color="auto"/>
              <w:right w:val="dotted" w:sz="4" w:space="0" w:color="auto"/>
            </w:tcBorders>
          </w:tcPr>
          <w:p w14:paraId="24D81624" w14:textId="77777777" w:rsidR="00756D68" w:rsidRPr="00AD3D8C" w:rsidRDefault="00756D68" w:rsidP="00756D68">
            <w:pPr>
              <w:pStyle w:val="Normal1"/>
              <w:jc w:val="center"/>
              <w:rPr>
                <w:szCs w:val="20"/>
              </w:rPr>
            </w:pPr>
            <w:r w:rsidRPr="00CF4F36">
              <w:t>-0.022***</w:t>
            </w:r>
          </w:p>
        </w:tc>
        <w:tc>
          <w:tcPr>
            <w:tcW w:w="1028" w:type="dxa"/>
            <w:tcBorders>
              <w:top w:val="dotted" w:sz="4" w:space="0" w:color="auto"/>
              <w:left w:val="dotted" w:sz="4" w:space="0" w:color="auto"/>
              <w:bottom w:val="dotted" w:sz="4" w:space="0" w:color="auto"/>
              <w:right w:val="dotted" w:sz="4" w:space="0" w:color="auto"/>
            </w:tcBorders>
          </w:tcPr>
          <w:p w14:paraId="10D630B5" w14:textId="77777777" w:rsidR="00756D68" w:rsidRPr="00AD3D8C" w:rsidRDefault="00756D68" w:rsidP="00756D68">
            <w:pPr>
              <w:pStyle w:val="Normal1"/>
              <w:jc w:val="center"/>
              <w:rPr>
                <w:szCs w:val="20"/>
              </w:rPr>
            </w:pPr>
            <w:r w:rsidRPr="00CF4F36">
              <w:t>-0.003</w:t>
            </w:r>
          </w:p>
        </w:tc>
        <w:tc>
          <w:tcPr>
            <w:tcW w:w="1167" w:type="dxa"/>
            <w:gridSpan w:val="2"/>
            <w:tcBorders>
              <w:top w:val="dotted" w:sz="4" w:space="0" w:color="auto"/>
              <w:left w:val="dotted" w:sz="4" w:space="0" w:color="auto"/>
              <w:bottom w:val="dotted" w:sz="4" w:space="0" w:color="auto"/>
              <w:right w:val="dotted" w:sz="4" w:space="0" w:color="auto"/>
            </w:tcBorders>
          </w:tcPr>
          <w:p w14:paraId="04174A21" w14:textId="77777777" w:rsidR="00756D68" w:rsidRPr="00AD3D8C" w:rsidRDefault="00756D68" w:rsidP="00756D68">
            <w:pPr>
              <w:pStyle w:val="Normal1"/>
              <w:jc w:val="center"/>
              <w:rPr>
                <w:szCs w:val="20"/>
              </w:rPr>
            </w:pPr>
            <w:r w:rsidRPr="00CF4F36">
              <w:t>0.013</w:t>
            </w:r>
          </w:p>
        </w:tc>
        <w:tc>
          <w:tcPr>
            <w:tcW w:w="1134" w:type="dxa"/>
            <w:gridSpan w:val="2"/>
            <w:tcBorders>
              <w:top w:val="dotted" w:sz="4" w:space="0" w:color="auto"/>
              <w:left w:val="dotted" w:sz="4" w:space="0" w:color="auto"/>
              <w:bottom w:val="dotted" w:sz="4" w:space="0" w:color="auto"/>
              <w:right w:val="dotted" w:sz="4" w:space="0" w:color="auto"/>
            </w:tcBorders>
          </w:tcPr>
          <w:p w14:paraId="0C837436" w14:textId="77777777" w:rsidR="00756D68" w:rsidRPr="00AD3D8C" w:rsidRDefault="00756D68" w:rsidP="00756D68">
            <w:pPr>
              <w:pStyle w:val="Normal1"/>
              <w:jc w:val="center"/>
              <w:rPr>
                <w:szCs w:val="20"/>
              </w:rPr>
            </w:pPr>
            <w:r w:rsidRPr="00CF4F36">
              <w:t>0.013***</w:t>
            </w:r>
          </w:p>
        </w:tc>
        <w:tc>
          <w:tcPr>
            <w:tcW w:w="1149" w:type="dxa"/>
            <w:tcBorders>
              <w:top w:val="dotted" w:sz="4" w:space="0" w:color="auto"/>
              <w:left w:val="dotted" w:sz="4" w:space="0" w:color="auto"/>
              <w:bottom w:val="dotted" w:sz="4" w:space="0" w:color="auto"/>
              <w:right w:val="single" w:sz="4" w:space="0" w:color="000000"/>
            </w:tcBorders>
          </w:tcPr>
          <w:p w14:paraId="2A0DF324" w14:textId="77777777" w:rsidR="00756D68" w:rsidRPr="00AD3D8C" w:rsidRDefault="00756D68" w:rsidP="00756D68">
            <w:pPr>
              <w:pStyle w:val="Normal1"/>
              <w:jc w:val="center"/>
              <w:rPr>
                <w:szCs w:val="20"/>
              </w:rPr>
            </w:pPr>
            <w:r w:rsidRPr="00CF4F36">
              <w:t>-0.002</w:t>
            </w:r>
          </w:p>
        </w:tc>
      </w:tr>
      <w:tr w:rsidR="00756D68" w14:paraId="25D77717" w14:textId="77777777" w:rsidTr="000E7881">
        <w:tc>
          <w:tcPr>
            <w:tcW w:w="726" w:type="dxa"/>
            <w:vMerge w:val="restart"/>
            <w:tcBorders>
              <w:right w:val="dotted" w:sz="4" w:space="0" w:color="auto"/>
            </w:tcBorders>
            <w:shd w:val="clear" w:color="auto" w:fill="FFFF00"/>
            <w:textDirection w:val="btLr"/>
          </w:tcPr>
          <w:p w14:paraId="420C54D0" w14:textId="4D8AC063" w:rsidR="00756D68" w:rsidRPr="00D50D1E" w:rsidRDefault="00D50D1E" w:rsidP="00756D68">
            <w:pPr>
              <w:pStyle w:val="Normal1"/>
              <w:ind w:left="113" w:right="113"/>
              <w:jc w:val="center"/>
              <w:rPr>
                <w:b/>
                <w:szCs w:val="20"/>
                <w:lang w:val="pl-PL"/>
              </w:rPr>
            </w:pPr>
            <w:r w:rsidRPr="00D50D1E">
              <w:rPr>
                <w:b/>
                <w:szCs w:val="20"/>
                <w:lang w:val="pl-PL"/>
              </w:rPr>
              <w:t>województwo</w:t>
            </w:r>
          </w:p>
        </w:tc>
        <w:tc>
          <w:tcPr>
            <w:tcW w:w="8073" w:type="dxa"/>
            <w:gridSpan w:val="11"/>
            <w:tcBorders>
              <w:top w:val="dotted" w:sz="4" w:space="0" w:color="auto"/>
              <w:left w:val="dotted" w:sz="4" w:space="0" w:color="auto"/>
              <w:bottom w:val="dotted" w:sz="4" w:space="0" w:color="auto"/>
              <w:right w:val="single" w:sz="4" w:space="0" w:color="000000"/>
            </w:tcBorders>
            <w:shd w:val="clear" w:color="auto" w:fill="D9D9D9" w:themeFill="background1" w:themeFillShade="D9"/>
          </w:tcPr>
          <w:p w14:paraId="6E1E9217" w14:textId="77777777" w:rsidR="00756D68" w:rsidRPr="00D50D1E" w:rsidRDefault="00756D68" w:rsidP="00756D68">
            <w:pPr>
              <w:pStyle w:val="Normal1"/>
              <w:rPr>
                <w:szCs w:val="20"/>
                <w:lang w:val="pl-PL"/>
              </w:rPr>
            </w:pPr>
            <w:r w:rsidRPr="00D50D1E">
              <w:rPr>
                <w:szCs w:val="20"/>
                <w:lang w:val="pl-PL"/>
              </w:rPr>
              <w:t>REF: dolnośląskie</w:t>
            </w:r>
          </w:p>
        </w:tc>
      </w:tr>
      <w:tr w:rsidR="00756D68" w14:paraId="4E0194F6" w14:textId="77777777" w:rsidTr="000E7881">
        <w:tc>
          <w:tcPr>
            <w:tcW w:w="726" w:type="dxa"/>
            <w:vMerge/>
            <w:tcBorders>
              <w:right w:val="dotted" w:sz="4" w:space="0" w:color="auto"/>
            </w:tcBorders>
            <w:shd w:val="clear" w:color="auto" w:fill="FFFF00"/>
          </w:tcPr>
          <w:p w14:paraId="56007536"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6A9D79DF" w14:textId="77777777" w:rsidR="00756D68" w:rsidRPr="00D50D1E" w:rsidRDefault="00756D68" w:rsidP="00756D68">
            <w:pPr>
              <w:pStyle w:val="Normal1"/>
              <w:rPr>
                <w:szCs w:val="20"/>
                <w:lang w:val="pl-PL"/>
              </w:rPr>
            </w:pPr>
            <w:r w:rsidRPr="00D50D1E">
              <w:rPr>
                <w:szCs w:val="20"/>
                <w:lang w:val="pl-PL"/>
              </w:rPr>
              <w:t>kujawsko-pomorskie</w:t>
            </w:r>
          </w:p>
        </w:tc>
        <w:tc>
          <w:tcPr>
            <w:tcW w:w="1052" w:type="dxa"/>
            <w:gridSpan w:val="2"/>
            <w:tcBorders>
              <w:top w:val="dotted" w:sz="4" w:space="0" w:color="auto"/>
              <w:left w:val="dotted" w:sz="4" w:space="0" w:color="auto"/>
              <w:bottom w:val="dotted" w:sz="4" w:space="0" w:color="auto"/>
              <w:right w:val="dotted" w:sz="4" w:space="0" w:color="auto"/>
            </w:tcBorders>
          </w:tcPr>
          <w:p w14:paraId="36595760" w14:textId="77777777" w:rsidR="00756D68" w:rsidRPr="00D50D1E" w:rsidRDefault="00756D68" w:rsidP="00756D68">
            <w:pPr>
              <w:pStyle w:val="Normal1"/>
              <w:jc w:val="center"/>
              <w:rPr>
                <w:szCs w:val="20"/>
                <w:lang w:val="pl-PL"/>
              </w:rPr>
            </w:pPr>
            <w:r w:rsidRPr="00D50D1E">
              <w:rPr>
                <w:lang w:val="pl-PL"/>
              </w:rPr>
              <w:t>-0.003</w:t>
            </w:r>
          </w:p>
        </w:tc>
        <w:tc>
          <w:tcPr>
            <w:tcW w:w="1028" w:type="dxa"/>
            <w:tcBorders>
              <w:top w:val="dotted" w:sz="4" w:space="0" w:color="auto"/>
              <w:left w:val="dotted" w:sz="4" w:space="0" w:color="auto"/>
              <w:bottom w:val="dotted" w:sz="4" w:space="0" w:color="auto"/>
              <w:right w:val="dotted" w:sz="4" w:space="0" w:color="auto"/>
            </w:tcBorders>
          </w:tcPr>
          <w:p w14:paraId="1C79BEEA" w14:textId="77777777" w:rsidR="00756D68" w:rsidRPr="00D50D1E" w:rsidRDefault="00756D68" w:rsidP="00756D68">
            <w:pPr>
              <w:pStyle w:val="Normal1"/>
              <w:jc w:val="center"/>
              <w:rPr>
                <w:szCs w:val="20"/>
                <w:lang w:val="pl-PL"/>
              </w:rPr>
            </w:pPr>
            <w:r w:rsidRPr="00D50D1E">
              <w:rPr>
                <w:lang w:val="pl-PL"/>
              </w:rPr>
              <w:t>0.002</w:t>
            </w:r>
          </w:p>
        </w:tc>
        <w:tc>
          <w:tcPr>
            <w:tcW w:w="1167" w:type="dxa"/>
            <w:gridSpan w:val="2"/>
            <w:tcBorders>
              <w:top w:val="dotted" w:sz="4" w:space="0" w:color="auto"/>
              <w:left w:val="dotted" w:sz="4" w:space="0" w:color="auto"/>
              <w:bottom w:val="dotted" w:sz="4" w:space="0" w:color="auto"/>
              <w:right w:val="dotted" w:sz="4" w:space="0" w:color="auto"/>
            </w:tcBorders>
          </w:tcPr>
          <w:p w14:paraId="059DE3F7" w14:textId="77777777" w:rsidR="00756D68" w:rsidRPr="00D50D1E" w:rsidRDefault="00756D68" w:rsidP="00756D68">
            <w:pPr>
              <w:pStyle w:val="Normal1"/>
              <w:jc w:val="center"/>
              <w:rPr>
                <w:szCs w:val="20"/>
                <w:lang w:val="pl-PL"/>
              </w:rPr>
            </w:pPr>
            <w:r w:rsidRPr="00D50D1E">
              <w:rPr>
                <w:lang w:val="pl-PL"/>
              </w:rPr>
              <w:t>0.046***</w:t>
            </w:r>
          </w:p>
        </w:tc>
        <w:tc>
          <w:tcPr>
            <w:tcW w:w="1134" w:type="dxa"/>
            <w:gridSpan w:val="2"/>
            <w:tcBorders>
              <w:top w:val="dotted" w:sz="4" w:space="0" w:color="auto"/>
              <w:left w:val="dotted" w:sz="4" w:space="0" w:color="auto"/>
              <w:bottom w:val="dotted" w:sz="4" w:space="0" w:color="auto"/>
              <w:right w:val="dotted" w:sz="4" w:space="0" w:color="auto"/>
            </w:tcBorders>
          </w:tcPr>
          <w:p w14:paraId="153F1CC0" w14:textId="77777777" w:rsidR="00756D68" w:rsidRPr="00D50D1E" w:rsidRDefault="00756D68" w:rsidP="00756D68">
            <w:pPr>
              <w:pStyle w:val="Normal1"/>
              <w:jc w:val="center"/>
              <w:rPr>
                <w:szCs w:val="20"/>
                <w:lang w:val="pl-PL"/>
              </w:rPr>
            </w:pPr>
            <w:r w:rsidRPr="00D50D1E">
              <w:rPr>
                <w:lang w:val="pl-PL"/>
              </w:rPr>
              <w:t>0.000</w:t>
            </w:r>
          </w:p>
        </w:tc>
        <w:tc>
          <w:tcPr>
            <w:tcW w:w="1149" w:type="dxa"/>
            <w:tcBorders>
              <w:top w:val="dotted" w:sz="4" w:space="0" w:color="auto"/>
              <w:left w:val="dotted" w:sz="4" w:space="0" w:color="auto"/>
              <w:bottom w:val="dotted" w:sz="4" w:space="0" w:color="auto"/>
              <w:right w:val="single" w:sz="4" w:space="0" w:color="000000"/>
            </w:tcBorders>
          </w:tcPr>
          <w:p w14:paraId="313EB70F" w14:textId="77777777" w:rsidR="00756D68" w:rsidRPr="00D50D1E" w:rsidRDefault="00756D68" w:rsidP="00756D68">
            <w:pPr>
              <w:pStyle w:val="Normal1"/>
              <w:jc w:val="center"/>
              <w:rPr>
                <w:szCs w:val="20"/>
                <w:lang w:val="pl-PL"/>
              </w:rPr>
            </w:pPr>
            <w:r w:rsidRPr="00D50D1E">
              <w:rPr>
                <w:lang w:val="pl-PL"/>
              </w:rPr>
              <w:t>-0.029***</w:t>
            </w:r>
          </w:p>
        </w:tc>
      </w:tr>
      <w:tr w:rsidR="00756D68" w14:paraId="31258B25" w14:textId="77777777" w:rsidTr="000E7881">
        <w:tc>
          <w:tcPr>
            <w:tcW w:w="726" w:type="dxa"/>
            <w:vMerge/>
            <w:tcBorders>
              <w:right w:val="dotted" w:sz="4" w:space="0" w:color="auto"/>
            </w:tcBorders>
            <w:shd w:val="clear" w:color="auto" w:fill="FFFF00"/>
          </w:tcPr>
          <w:p w14:paraId="2DBC8B64"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353C55FE" w14:textId="77777777" w:rsidR="00756D68" w:rsidRPr="00D50D1E" w:rsidRDefault="00756D68" w:rsidP="00756D68">
            <w:pPr>
              <w:pStyle w:val="Normal1"/>
              <w:rPr>
                <w:szCs w:val="20"/>
                <w:lang w:val="pl-PL"/>
              </w:rPr>
            </w:pPr>
            <w:r w:rsidRPr="00D50D1E">
              <w:rPr>
                <w:szCs w:val="20"/>
                <w:lang w:val="pl-PL"/>
              </w:rPr>
              <w:t>lubelskie</w:t>
            </w:r>
          </w:p>
        </w:tc>
        <w:tc>
          <w:tcPr>
            <w:tcW w:w="1052" w:type="dxa"/>
            <w:gridSpan w:val="2"/>
            <w:tcBorders>
              <w:top w:val="dotted" w:sz="4" w:space="0" w:color="auto"/>
              <w:left w:val="dotted" w:sz="4" w:space="0" w:color="auto"/>
              <w:bottom w:val="dotted" w:sz="4" w:space="0" w:color="auto"/>
              <w:right w:val="dotted" w:sz="4" w:space="0" w:color="auto"/>
            </w:tcBorders>
          </w:tcPr>
          <w:p w14:paraId="66BBC2DE" w14:textId="77777777" w:rsidR="00756D68" w:rsidRPr="00D50D1E" w:rsidRDefault="00756D68" w:rsidP="00756D68">
            <w:pPr>
              <w:pStyle w:val="Normal1"/>
              <w:jc w:val="center"/>
              <w:rPr>
                <w:szCs w:val="20"/>
                <w:lang w:val="pl-PL"/>
              </w:rPr>
            </w:pPr>
            <w:r w:rsidRPr="00D50D1E">
              <w:rPr>
                <w:lang w:val="pl-PL"/>
              </w:rPr>
              <w:t>-0.013*</w:t>
            </w:r>
          </w:p>
        </w:tc>
        <w:tc>
          <w:tcPr>
            <w:tcW w:w="1028" w:type="dxa"/>
            <w:tcBorders>
              <w:top w:val="dotted" w:sz="4" w:space="0" w:color="auto"/>
              <w:left w:val="dotted" w:sz="4" w:space="0" w:color="auto"/>
              <w:bottom w:val="dotted" w:sz="4" w:space="0" w:color="auto"/>
              <w:right w:val="dotted" w:sz="4" w:space="0" w:color="auto"/>
            </w:tcBorders>
          </w:tcPr>
          <w:p w14:paraId="4C2FB76F" w14:textId="77777777" w:rsidR="00756D68" w:rsidRPr="00D50D1E" w:rsidRDefault="00756D68" w:rsidP="00756D68">
            <w:pPr>
              <w:pStyle w:val="Normal1"/>
              <w:jc w:val="center"/>
              <w:rPr>
                <w:szCs w:val="20"/>
                <w:lang w:val="pl-PL"/>
              </w:rPr>
            </w:pPr>
            <w:r w:rsidRPr="00D50D1E">
              <w:rPr>
                <w:lang w:val="pl-PL"/>
              </w:rPr>
              <w:t>0.005</w:t>
            </w:r>
          </w:p>
        </w:tc>
        <w:tc>
          <w:tcPr>
            <w:tcW w:w="1167" w:type="dxa"/>
            <w:gridSpan w:val="2"/>
            <w:tcBorders>
              <w:top w:val="dotted" w:sz="4" w:space="0" w:color="auto"/>
              <w:left w:val="dotted" w:sz="4" w:space="0" w:color="auto"/>
              <w:bottom w:val="dotted" w:sz="4" w:space="0" w:color="auto"/>
              <w:right w:val="dotted" w:sz="4" w:space="0" w:color="auto"/>
            </w:tcBorders>
          </w:tcPr>
          <w:p w14:paraId="5D9CEFAB" w14:textId="77777777" w:rsidR="00756D68" w:rsidRPr="00D50D1E" w:rsidRDefault="00756D68" w:rsidP="00756D68">
            <w:pPr>
              <w:pStyle w:val="Normal1"/>
              <w:jc w:val="center"/>
              <w:rPr>
                <w:szCs w:val="20"/>
                <w:lang w:val="pl-PL"/>
              </w:rPr>
            </w:pPr>
            <w:r w:rsidRPr="00D50D1E">
              <w:rPr>
                <w:lang w:val="pl-PL"/>
              </w:rPr>
              <w:t>-0.051***</w:t>
            </w:r>
          </w:p>
        </w:tc>
        <w:tc>
          <w:tcPr>
            <w:tcW w:w="1134" w:type="dxa"/>
            <w:gridSpan w:val="2"/>
            <w:tcBorders>
              <w:top w:val="dotted" w:sz="4" w:space="0" w:color="auto"/>
              <w:left w:val="dotted" w:sz="4" w:space="0" w:color="auto"/>
              <w:bottom w:val="dotted" w:sz="4" w:space="0" w:color="auto"/>
              <w:right w:val="dotted" w:sz="4" w:space="0" w:color="auto"/>
            </w:tcBorders>
          </w:tcPr>
          <w:p w14:paraId="68A364DC" w14:textId="77777777" w:rsidR="00756D68" w:rsidRPr="00D50D1E" w:rsidRDefault="00756D68" w:rsidP="00756D68">
            <w:pPr>
              <w:pStyle w:val="Normal1"/>
              <w:jc w:val="center"/>
              <w:rPr>
                <w:szCs w:val="20"/>
                <w:lang w:val="pl-PL"/>
              </w:rPr>
            </w:pPr>
            <w:r w:rsidRPr="00D50D1E">
              <w:rPr>
                <w:lang w:val="pl-PL"/>
              </w:rPr>
              <w:t>0.010*</w:t>
            </w:r>
          </w:p>
        </w:tc>
        <w:tc>
          <w:tcPr>
            <w:tcW w:w="1149" w:type="dxa"/>
            <w:tcBorders>
              <w:top w:val="dotted" w:sz="4" w:space="0" w:color="auto"/>
              <w:left w:val="dotted" w:sz="4" w:space="0" w:color="auto"/>
              <w:bottom w:val="dotted" w:sz="4" w:space="0" w:color="auto"/>
              <w:right w:val="single" w:sz="4" w:space="0" w:color="000000"/>
            </w:tcBorders>
          </w:tcPr>
          <w:p w14:paraId="5F6141C8" w14:textId="77777777" w:rsidR="00756D68" w:rsidRPr="00D50D1E" w:rsidRDefault="00756D68" w:rsidP="00756D68">
            <w:pPr>
              <w:pStyle w:val="Normal1"/>
              <w:jc w:val="center"/>
              <w:rPr>
                <w:szCs w:val="20"/>
                <w:lang w:val="pl-PL"/>
              </w:rPr>
            </w:pPr>
            <w:r w:rsidRPr="00D50D1E">
              <w:rPr>
                <w:lang w:val="pl-PL"/>
              </w:rPr>
              <w:t>-0.018**</w:t>
            </w:r>
          </w:p>
        </w:tc>
      </w:tr>
      <w:tr w:rsidR="00756D68" w14:paraId="1CFDB0BD" w14:textId="77777777" w:rsidTr="000E7881">
        <w:tc>
          <w:tcPr>
            <w:tcW w:w="726" w:type="dxa"/>
            <w:vMerge/>
            <w:tcBorders>
              <w:right w:val="dotted" w:sz="4" w:space="0" w:color="auto"/>
            </w:tcBorders>
            <w:shd w:val="clear" w:color="auto" w:fill="FFFF00"/>
          </w:tcPr>
          <w:p w14:paraId="0857DD17"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2DC97C3F" w14:textId="77777777" w:rsidR="00756D68" w:rsidRPr="00D50D1E" w:rsidRDefault="00756D68" w:rsidP="00756D68">
            <w:pPr>
              <w:pStyle w:val="Normal1"/>
              <w:rPr>
                <w:szCs w:val="20"/>
                <w:lang w:val="pl-PL"/>
              </w:rPr>
            </w:pPr>
            <w:r w:rsidRPr="00D50D1E">
              <w:rPr>
                <w:szCs w:val="20"/>
                <w:lang w:val="pl-PL"/>
              </w:rPr>
              <w:t>lubuskie</w:t>
            </w:r>
          </w:p>
        </w:tc>
        <w:tc>
          <w:tcPr>
            <w:tcW w:w="1052" w:type="dxa"/>
            <w:gridSpan w:val="2"/>
            <w:tcBorders>
              <w:top w:val="dotted" w:sz="4" w:space="0" w:color="auto"/>
              <w:left w:val="dotted" w:sz="4" w:space="0" w:color="auto"/>
              <w:bottom w:val="dotted" w:sz="4" w:space="0" w:color="auto"/>
              <w:right w:val="dotted" w:sz="4" w:space="0" w:color="auto"/>
            </w:tcBorders>
          </w:tcPr>
          <w:p w14:paraId="25B03BE7" w14:textId="77777777" w:rsidR="00756D68" w:rsidRPr="00D50D1E" w:rsidRDefault="00756D68" w:rsidP="00756D68">
            <w:pPr>
              <w:pStyle w:val="Normal1"/>
              <w:jc w:val="center"/>
              <w:rPr>
                <w:szCs w:val="20"/>
                <w:lang w:val="pl-PL"/>
              </w:rPr>
            </w:pPr>
            <w:r w:rsidRPr="00D50D1E">
              <w:rPr>
                <w:lang w:val="pl-PL"/>
              </w:rPr>
              <w:t>0.007</w:t>
            </w:r>
          </w:p>
        </w:tc>
        <w:tc>
          <w:tcPr>
            <w:tcW w:w="1028" w:type="dxa"/>
            <w:tcBorders>
              <w:top w:val="dotted" w:sz="4" w:space="0" w:color="auto"/>
              <w:left w:val="dotted" w:sz="4" w:space="0" w:color="auto"/>
              <w:bottom w:val="dotted" w:sz="4" w:space="0" w:color="auto"/>
              <w:right w:val="dotted" w:sz="4" w:space="0" w:color="auto"/>
            </w:tcBorders>
          </w:tcPr>
          <w:p w14:paraId="74F6DD8A" w14:textId="77777777" w:rsidR="00756D68" w:rsidRPr="00D50D1E" w:rsidRDefault="00756D68" w:rsidP="00756D68">
            <w:pPr>
              <w:pStyle w:val="Normal1"/>
              <w:jc w:val="center"/>
              <w:rPr>
                <w:szCs w:val="20"/>
                <w:lang w:val="pl-PL"/>
              </w:rPr>
            </w:pPr>
            <w:r w:rsidRPr="00D50D1E">
              <w:rPr>
                <w:lang w:val="pl-PL"/>
              </w:rPr>
              <w:t>0.000</w:t>
            </w:r>
          </w:p>
        </w:tc>
        <w:tc>
          <w:tcPr>
            <w:tcW w:w="1167" w:type="dxa"/>
            <w:gridSpan w:val="2"/>
            <w:tcBorders>
              <w:top w:val="dotted" w:sz="4" w:space="0" w:color="auto"/>
              <w:left w:val="dotted" w:sz="4" w:space="0" w:color="auto"/>
              <w:bottom w:val="dotted" w:sz="4" w:space="0" w:color="auto"/>
              <w:right w:val="dotted" w:sz="4" w:space="0" w:color="auto"/>
            </w:tcBorders>
          </w:tcPr>
          <w:p w14:paraId="3D9DE20E" w14:textId="77777777" w:rsidR="00756D68" w:rsidRPr="00D50D1E" w:rsidRDefault="00756D68" w:rsidP="00756D68">
            <w:pPr>
              <w:pStyle w:val="Normal1"/>
              <w:jc w:val="center"/>
              <w:rPr>
                <w:szCs w:val="20"/>
                <w:lang w:val="pl-PL"/>
              </w:rPr>
            </w:pPr>
            <w:r w:rsidRPr="00D50D1E">
              <w:rPr>
                <w:lang w:val="pl-PL"/>
              </w:rPr>
              <w:t>0.010</w:t>
            </w:r>
          </w:p>
        </w:tc>
        <w:tc>
          <w:tcPr>
            <w:tcW w:w="1134" w:type="dxa"/>
            <w:gridSpan w:val="2"/>
            <w:tcBorders>
              <w:top w:val="dotted" w:sz="4" w:space="0" w:color="auto"/>
              <w:left w:val="dotted" w:sz="4" w:space="0" w:color="auto"/>
              <w:bottom w:val="dotted" w:sz="4" w:space="0" w:color="auto"/>
              <w:right w:val="dotted" w:sz="4" w:space="0" w:color="auto"/>
            </w:tcBorders>
          </w:tcPr>
          <w:p w14:paraId="6CF614B7" w14:textId="77777777" w:rsidR="00756D68" w:rsidRPr="00D50D1E" w:rsidRDefault="00756D68" w:rsidP="00756D68">
            <w:pPr>
              <w:pStyle w:val="Normal1"/>
              <w:jc w:val="center"/>
              <w:rPr>
                <w:szCs w:val="20"/>
                <w:lang w:val="pl-PL"/>
              </w:rPr>
            </w:pPr>
            <w:r w:rsidRPr="00D50D1E">
              <w:rPr>
                <w:lang w:val="pl-PL"/>
              </w:rPr>
              <w:t>-0.000</w:t>
            </w:r>
          </w:p>
        </w:tc>
        <w:tc>
          <w:tcPr>
            <w:tcW w:w="1149" w:type="dxa"/>
            <w:tcBorders>
              <w:top w:val="dotted" w:sz="4" w:space="0" w:color="auto"/>
              <w:left w:val="dotted" w:sz="4" w:space="0" w:color="auto"/>
              <w:bottom w:val="dotted" w:sz="4" w:space="0" w:color="auto"/>
              <w:right w:val="single" w:sz="4" w:space="0" w:color="000000"/>
            </w:tcBorders>
          </w:tcPr>
          <w:p w14:paraId="3785A452" w14:textId="77777777" w:rsidR="00756D68" w:rsidRPr="00D50D1E" w:rsidRDefault="00756D68" w:rsidP="00756D68">
            <w:pPr>
              <w:pStyle w:val="Normal1"/>
              <w:jc w:val="center"/>
              <w:rPr>
                <w:szCs w:val="20"/>
                <w:lang w:val="pl-PL"/>
              </w:rPr>
            </w:pPr>
            <w:r w:rsidRPr="00D50D1E">
              <w:rPr>
                <w:lang w:val="pl-PL"/>
              </w:rPr>
              <w:t>-0.022**</w:t>
            </w:r>
          </w:p>
        </w:tc>
      </w:tr>
      <w:tr w:rsidR="00756D68" w14:paraId="51218347" w14:textId="77777777" w:rsidTr="000E7881">
        <w:tc>
          <w:tcPr>
            <w:tcW w:w="726" w:type="dxa"/>
            <w:vMerge/>
            <w:tcBorders>
              <w:right w:val="dotted" w:sz="4" w:space="0" w:color="auto"/>
            </w:tcBorders>
            <w:shd w:val="clear" w:color="auto" w:fill="FFFF00"/>
          </w:tcPr>
          <w:p w14:paraId="4B71F90F"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6E6C8957" w14:textId="77777777" w:rsidR="00756D68" w:rsidRPr="00D50D1E" w:rsidRDefault="00756D68" w:rsidP="00756D68">
            <w:pPr>
              <w:pStyle w:val="Normal1"/>
              <w:rPr>
                <w:szCs w:val="20"/>
                <w:lang w:val="pl-PL"/>
              </w:rPr>
            </w:pPr>
            <w:r w:rsidRPr="00D50D1E">
              <w:rPr>
                <w:szCs w:val="20"/>
                <w:lang w:val="pl-PL"/>
              </w:rPr>
              <w:t>łódzkie</w:t>
            </w:r>
          </w:p>
        </w:tc>
        <w:tc>
          <w:tcPr>
            <w:tcW w:w="1052" w:type="dxa"/>
            <w:gridSpan w:val="2"/>
            <w:tcBorders>
              <w:top w:val="dotted" w:sz="4" w:space="0" w:color="auto"/>
              <w:left w:val="dotted" w:sz="4" w:space="0" w:color="auto"/>
              <w:bottom w:val="dotted" w:sz="4" w:space="0" w:color="auto"/>
              <w:right w:val="dotted" w:sz="4" w:space="0" w:color="auto"/>
            </w:tcBorders>
          </w:tcPr>
          <w:p w14:paraId="54DDC717" w14:textId="77777777" w:rsidR="00756D68" w:rsidRPr="00D50D1E" w:rsidRDefault="00756D68" w:rsidP="00756D68">
            <w:pPr>
              <w:pStyle w:val="Normal1"/>
              <w:jc w:val="center"/>
              <w:rPr>
                <w:szCs w:val="20"/>
                <w:lang w:val="pl-PL"/>
              </w:rPr>
            </w:pPr>
            <w:r w:rsidRPr="00D50D1E">
              <w:rPr>
                <w:lang w:val="pl-PL"/>
              </w:rPr>
              <w:t>-0.006</w:t>
            </w:r>
          </w:p>
        </w:tc>
        <w:tc>
          <w:tcPr>
            <w:tcW w:w="1028" w:type="dxa"/>
            <w:tcBorders>
              <w:top w:val="dotted" w:sz="4" w:space="0" w:color="auto"/>
              <w:left w:val="dotted" w:sz="4" w:space="0" w:color="auto"/>
              <w:bottom w:val="dotted" w:sz="4" w:space="0" w:color="auto"/>
              <w:right w:val="dotted" w:sz="4" w:space="0" w:color="auto"/>
            </w:tcBorders>
          </w:tcPr>
          <w:p w14:paraId="5B2B9A31" w14:textId="77777777" w:rsidR="00756D68" w:rsidRPr="00D50D1E" w:rsidRDefault="00756D68" w:rsidP="00756D68">
            <w:pPr>
              <w:pStyle w:val="Normal1"/>
              <w:jc w:val="center"/>
              <w:rPr>
                <w:szCs w:val="20"/>
                <w:lang w:val="pl-PL"/>
              </w:rPr>
            </w:pPr>
            <w:r w:rsidRPr="00D50D1E">
              <w:rPr>
                <w:lang w:val="pl-PL"/>
              </w:rPr>
              <w:t>-0.000</w:t>
            </w:r>
          </w:p>
        </w:tc>
        <w:tc>
          <w:tcPr>
            <w:tcW w:w="1167" w:type="dxa"/>
            <w:gridSpan w:val="2"/>
            <w:tcBorders>
              <w:top w:val="dotted" w:sz="4" w:space="0" w:color="auto"/>
              <w:left w:val="dotted" w:sz="4" w:space="0" w:color="auto"/>
              <w:bottom w:val="dotted" w:sz="4" w:space="0" w:color="auto"/>
              <w:right w:val="dotted" w:sz="4" w:space="0" w:color="auto"/>
            </w:tcBorders>
          </w:tcPr>
          <w:p w14:paraId="32C725AA" w14:textId="77777777" w:rsidR="00756D68" w:rsidRPr="00D50D1E" w:rsidRDefault="00756D68" w:rsidP="00756D68">
            <w:pPr>
              <w:pStyle w:val="Normal1"/>
              <w:jc w:val="center"/>
              <w:rPr>
                <w:szCs w:val="20"/>
                <w:lang w:val="pl-PL"/>
              </w:rPr>
            </w:pPr>
            <w:r w:rsidRPr="00D50D1E">
              <w:rPr>
                <w:lang w:val="pl-PL"/>
              </w:rPr>
              <w:t>0.022**</w:t>
            </w:r>
          </w:p>
        </w:tc>
        <w:tc>
          <w:tcPr>
            <w:tcW w:w="1134" w:type="dxa"/>
            <w:gridSpan w:val="2"/>
            <w:tcBorders>
              <w:top w:val="dotted" w:sz="4" w:space="0" w:color="auto"/>
              <w:left w:val="dotted" w:sz="4" w:space="0" w:color="auto"/>
              <w:bottom w:val="dotted" w:sz="4" w:space="0" w:color="auto"/>
              <w:right w:val="dotted" w:sz="4" w:space="0" w:color="auto"/>
            </w:tcBorders>
          </w:tcPr>
          <w:p w14:paraId="1CFCB8C3" w14:textId="77777777" w:rsidR="00756D68" w:rsidRPr="00D50D1E" w:rsidRDefault="00756D68" w:rsidP="00756D68">
            <w:pPr>
              <w:pStyle w:val="Normal1"/>
              <w:jc w:val="center"/>
              <w:rPr>
                <w:szCs w:val="20"/>
                <w:lang w:val="pl-PL"/>
              </w:rPr>
            </w:pPr>
            <w:r w:rsidRPr="00D50D1E">
              <w:rPr>
                <w:lang w:val="pl-PL"/>
              </w:rPr>
              <w:t>-0.014***</w:t>
            </w:r>
          </w:p>
        </w:tc>
        <w:tc>
          <w:tcPr>
            <w:tcW w:w="1149" w:type="dxa"/>
            <w:tcBorders>
              <w:top w:val="dotted" w:sz="4" w:space="0" w:color="auto"/>
              <w:left w:val="dotted" w:sz="4" w:space="0" w:color="auto"/>
              <w:bottom w:val="dotted" w:sz="4" w:space="0" w:color="auto"/>
              <w:right w:val="single" w:sz="4" w:space="0" w:color="000000"/>
            </w:tcBorders>
          </w:tcPr>
          <w:p w14:paraId="2648C7B0" w14:textId="77777777" w:rsidR="00756D68" w:rsidRPr="00D50D1E" w:rsidRDefault="00756D68" w:rsidP="00756D68">
            <w:pPr>
              <w:pStyle w:val="Normal1"/>
              <w:jc w:val="center"/>
              <w:rPr>
                <w:szCs w:val="20"/>
                <w:lang w:val="pl-PL"/>
              </w:rPr>
            </w:pPr>
            <w:r w:rsidRPr="00D50D1E">
              <w:rPr>
                <w:lang w:val="pl-PL"/>
              </w:rPr>
              <w:t>-0.031***</w:t>
            </w:r>
          </w:p>
        </w:tc>
      </w:tr>
      <w:tr w:rsidR="00756D68" w14:paraId="73A10D66" w14:textId="77777777" w:rsidTr="000E7881">
        <w:tc>
          <w:tcPr>
            <w:tcW w:w="726" w:type="dxa"/>
            <w:vMerge/>
            <w:tcBorders>
              <w:right w:val="dotted" w:sz="4" w:space="0" w:color="auto"/>
            </w:tcBorders>
            <w:shd w:val="clear" w:color="auto" w:fill="FFFF00"/>
          </w:tcPr>
          <w:p w14:paraId="0DB61A8E"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1E25724F" w14:textId="77777777" w:rsidR="00756D68" w:rsidRPr="00D50D1E" w:rsidRDefault="00756D68" w:rsidP="00756D68">
            <w:pPr>
              <w:pStyle w:val="Normal1"/>
              <w:rPr>
                <w:szCs w:val="20"/>
                <w:lang w:val="pl-PL"/>
              </w:rPr>
            </w:pPr>
            <w:r w:rsidRPr="00D50D1E">
              <w:rPr>
                <w:szCs w:val="20"/>
                <w:lang w:val="pl-PL"/>
              </w:rPr>
              <w:t>małopolskie</w:t>
            </w:r>
          </w:p>
        </w:tc>
        <w:tc>
          <w:tcPr>
            <w:tcW w:w="1052" w:type="dxa"/>
            <w:gridSpan w:val="2"/>
            <w:tcBorders>
              <w:top w:val="dotted" w:sz="4" w:space="0" w:color="auto"/>
              <w:left w:val="dotted" w:sz="4" w:space="0" w:color="auto"/>
              <w:bottom w:val="dotted" w:sz="4" w:space="0" w:color="auto"/>
              <w:right w:val="dotted" w:sz="4" w:space="0" w:color="auto"/>
            </w:tcBorders>
          </w:tcPr>
          <w:p w14:paraId="1D9F076F" w14:textId="77777777" w:rsidR="00756D68" w:rsidRPr="00D50D1E" w:rsidRDefault="00756D68" w:rsidP="00756D68">
            <w:pPr>
              <w:pStyle w:val="Normal1"/>
              <w:jc w:val="center"/>
              <w:rPr>
                <w:szCs w:val="20"/>
                <w:lang w:val="pl-PL"/>
              </w:rPr>
            </w:pPr>
            <w:r w:rsidRPr="00D50D1E">
              <w:rPr>
                <w:lang w:val="pl-PL"/>
              </w:rPr>
              <w:t>0.009</w:t>
            </w:r>
          </w:p>
        </w:tc>
        <w:tc>
          <w:tcPr>
            <w:tcW w:w="1028" w:type="dxa"/>
            <w:tcBorders>
              <w:top w:val="dotted" w:sz="4" w:space="0" w:color="auto"/>
              <w:left w:val="dotted" w:sz="4" w:space="0" w:color="auto"/>
              <w:bottom w:val="dotted" w:sz="4" w:space="0" w:color="auto"/>
              <w:right w:val="dotted" w:sz="4" w:space="0" w:color="auto"/>
            </w:tcBorders>
          </w:tcPr>
          <w:p w14:paraId="78ECF2C8" w14:textId="77777777" w:rsidR="00756D68" w:rsidRPr="00D50D1E" w:rsidRDefault="00756D68" w:rsidP="00756D68">
            <w:pPr>
              <w:pStyle w:val="Normal1"/>
              <w:jc w:val="center"/>
              <w:rPr>
                <w:szCs w:val="20"/>
                <w:lang w:val="pl-PL"/>
              </w:rPr>
            </w:pPr>
            <w:r w:rsidRPr="00D50D1E">
              <w:rPr>
                <w:lang w:val="pl-PL"/>
              </w:rPr>
              <w:t>0.004</w:t>
            </w:r>
          </w:p>
        </w:tc>
        <w:tc>
          <w:tcPr>
            <w:tcW w:w="1167" w:type="dxa"/>
            <w:gridSpan w:val="2"/>
            <w:tcBorders>
              <w:top w:val="dotted" w:sz="4" w:space="0" w:color="auto"/>
              <w:left w:val="dotted" w:sz="4" w:space="0" w:color="auto"/>
              <w:bottom w:val="dotted" w:sz="4" w:space="0" w:color="auto"/>
              <w:right w:val="dotted" w:sz="4" w:space="0" w:color="auto"/>
            </w:tcBorders>
          </w:tcPr>
          <w:p w14:paraId="352ACB1B" w14:textId="77777777" w:rsidR="00756D68" w:rsidRPr="00D50D1E" w:rsidRDefault="00756D68" w:rsidP="00756D68">
            <w:pPr>
              <w:pStyle w:val="Normal1"/>
              <w:jc w:val="center"/>
              <w:rPr>
                <w:szCs w:val="20"/>
                <w:lang w:val="pl-PL"/>
              </w:rPr>
            </w:pPr>
            <w:r w:rsidRPr="00D50D1E">
              <w:rPr>
                <w:lang w:val="pl-PL"/>
              </w:rPr>
              <w:t>0.020**</w:t>
            </w:r>
          </w:p>
        </w:tc>
        <w:tc>
          <w:tcPr>
            <w:tcW w:w="1134" w:type="dxa"/>
            <w:gridSpan w:val="2"/>
            <w:tcBorders>
              <w:top w:val="dotted" w:sz="4" w:space="0" w:color="auto"/>
              <w:left w:val="dotted" w:sz="4" w:space="0" w:color="auto"/>
              <w:bottom w:val="dotted" w:sz="4" w:space="0" w:color="auto"/>
              <w:right w:val="dotted" w:sz="4" w:space="0" w:color="auto"/>
            </w:tcBorders>
          </w:tcPr>
          <w:p w14:paraId="45BEACBD" w14:textId="77777777" w:rsidR="00756D68" w:rsidRPr="00D50D1E" w:rsidRDefault="00756D68" w:rsidP="00756D68">
            <w:pPr>
              <w:pStyle w:val="Normal1"/>
              <w:jc w:val="center"/>
              <w:rPr>
                <w:szCs w:val="20"/>
                <w:lang w:val="pl-PL"/>
              </w:rPr>
            </w:pPr>
            <w:r w:rsidRPr="00D50D1E">
              <w:rPr>
                <w:lang w:val="pl-PL"/>
              </w:rPr>
              <w:t>0.001</w:t>
            </w:r>
          </w:p>
        </w:tc>
        <w:tc>
          <w:tcPr>
            <w:tcW w:w="1149" w:type="dxa"/>
            <w:tcBorders>
              <w:top w:val="dotted" w:sz="4" w:space="0" w:color="auto"/>
              <w:left w:val="dotted" w:sz="4" w:space="0" w:color="auto"/>
              <w:bottom w:val="dotted" w:sz="4" w:space="0" w:color="auto"/>
              <w:right w:val="single" w:sz="4" w:space="0" w:color="000000"/>
            </w:tcBorders>
          </w:tcPr>
          <w:p w14:paraId="3EF5B802" w14:textId="77777777" w:rsidR="00756D68" w:rsidRPr="00D50D1E" w:rsidRDefault="00756D68" w:rsidP="00756D68">
            <w:pPr>
              <w:pStyle w:val="Normal1"/>
              <w:jc w:val="center"/>
              <w:rPr>
                <w:szCs w:val="20"/>
                <w:lang w:val="pl-PL"/>
              </w:rPr>
            </w:pPr>
            <w:r w:rsidRPr="00D50D1E">
              <w:rPr>
                <w:lang w:val="pl-PL"/>
              </w:rPr>
              <w:t>-0.056***</w:t>
            </w:r>
          </w:p>
        </w:tc>
      </w:tr>
      <w:tr w:rsidR="00756D68" w14:paraId="645AD174" w14:textId="77777777" w:rsidTr="000E7881">
        <w:tc>
          <w:tcPr>
            <w:tcW w:w="726" w:type="dxa"/>
            <w:vMerge/>
            <w:tcBorders>
              <w:right w:val="dotted" w:sz="4" w:space="0" w:color="auto"/>
            </w:tcBorders>
            <w:shd w:val="clear" w:color="auto" w:fill="FFFF00"/>
          </w:tcPr>
          <w:p w14:paraId="048BF8BF"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08D26014" w14:textId="77777777" w:rsidR="00756D68" w:rsidRPr="00D50D1E" w:rsidRDefault="00756D68" w:rsidP="00756D68">
            <w:pPr>
              <w:pStyle w:val="Normal1"/>
              <w:rPr>
                <w:szCs w:val="20"/>
                <w:lang w:val="pl-PL"/>
              </w:rPr>
            </w:pPr>
            <w:r w:rsidRPr="00D50D1E">
              <w:rPr>
                <w:szCs w:val="20"/>
                <w:lang w:val="pl-PL"/>
              </w:rPr>
              <w:t>mazowieckie</w:t>
            </w:r>
          </w:p>
        </w:tc>
        <w:tc>
          <w:tcPr>
            <w:tcW w:w="1052" w:type="dxa"/>
            <w:gridSpan w:val="2"/>
            <w:tcBorders>
              <w:top w:val="dotted" w:sz="4" w:space="0" w:color="auto"/>
              <w:left w:val="dotted" w:sz="4" w:space="0" w:color="auto"/>
              <w:bottom w:val="dotted" w:sz="4" w:space="0" w:color="auto"/>
              <w:right w:val="dotted" w:sz="4" w:space="0" w:color="auto"/>
            </w:tcBorders>
          </w:tcPr>
          <w:p w14:paraId="09BC8495" w14:textId="77777777" w:rsidR="00756D68" w:rsidRPr="00D50D1E" w:rsidRDefault="00756D68" w:rsidP="00756D68">
            <w:pPr>
              <w:pStyle w:val="Normal1"/>
              <w:jc w:val="center"/>
              <w:rPr>
                <w:szCs w:val="20"/>
                <w:lang w:val="pl-PL"/>
              </w:rPr>
            </w:pPr>
            <w:r w:rsidRPr="00D50D1E">
              <w:rPr>
                <w:lang w:val="pl-PL"/>
              </w:rPr>
              <w:t>-0.006</w:t>
            </w:r>
          </w:p>
        </w:tc>
        <w:tc>
          <w:tcPr>
            <w:tcW w:w="1028" w:type="dxa"/>
            <w:tcBorders>
              <w:top w:val="dotted" w:sz="4" w:space="0" w:color="auto"/>
              <w:left w:val="dotted" w:sz="4" w:space="0" w:color="auto"/>
              <w:bottom w:val="dotted" w:sz="4" w:space="0" w:color="auto"/>
              <w:right w:val="dotted" w:sz="4" w:space="0" w:color="auto"/>
            </w:tcBorders>
          </w:tcPr>
          <w:p w14:paraId="20370D24" w14:textId="77777777" w:rsidR="00756D68" w:rsidRPr="00D50D1E" w:rsidRDefault="00756D68" w:rsidP="00756D68">
            <w:pPr>
              <w:pStyle w:val="Normal1"/>
              <w:jc w:val="center"/>
              <w:rPr>
                <w:szCs w:val="20"/>
                <w:lang w:val="pl-PL"/>
              </w:rPr>
            </w:pPr>
            <w:r w:rsidRPr="00D50D1E">
              <w:rPr>
                <w:lang w:val="pl-PL"/>
              </w:rPr>
              <w:t>0.003</w:t>
            </w:r>
          </w:p>
        </w:tc>
        <w:tc>
          <w:tcPr>
            <w:tcW w:w="1167" w:type="dxa"/>
            <w:gridSpan w:val="2"/>
            <w:tcBorders>
              <w:top w:val="dotted" w:sz="4" w:space="0" w:color="auto"/>
              <w:left w:val="dotted" w:sz="4" w:space="0" w:color="auto"/>
              <w:bottom w:val="dotted" w:sz="4" w:space="0" w:color="auto"/>
              <w:right w:val="dotted" w:sz="4" w:space="0" w:color="auto"/>
            </w:tcBorders>
          </w:tcPr>
          <w:p w14:paraId="7AFFDCB7" w14:textId="77777777" w:rsidR="00756D68" w:rsidRPr="00D50D1E" w:rsidRDefault="00756D68" w:rsidP="00756D68">
            <w:pPr>
              <w:pStyle w:val="Normal1"/>
              <w:jc w:val="center"/>
              <w:rPr>
                <w:szCs w:val="20"/>
                <w:lang w:val="pl-PL"/>
              </w:rPr>
            </w:pPr>
            <w:r w:rsidRPr="00D50D1E">
              <w:rPr>
                <w:lang w:val="pl-PL"/>
              </w:rPr>
              <w:t>0.012</w:t>
            </w:r>
          </w:p>
        </w:tc>
        <w:tc>
          <w:tcPr>
            <w:tcW w:w="1134" w:type="dxa"/>
            <w:gridSpan w:val="2"/>
            <w:tcBorders>
              <w:top w:val="dotted" w:sz="4" w:space="0" w:color="auto"/>
              <w:left w:val="dotted" w:sz="4" w:space="0" w:color="auto"/>
              <w:bottom w:val="dotted" w:sz="4" w:space="0" w:color="auto"/>
              <w:right w:val="dotted" w:sz="4" w:space="0" w:color="auto"/>
            </w:tcBorders>
          </w:tcPr>
          <w:p w14:paraId="44C352FD" w14:textId="77777777" w:rsidR="00756D68" w:rsidRPr="00D50D1E" w:rsidRDefault="00756D68" w:rsidP="00756D68">
            <w:pPr>
              <w:pStyle w:val="Normal1"/>
              <w:jc w:val="center"/>
              <w:rPr>
                <w:szCs w:val="20"/>
                <w:lang w:val="pl-PL"/>
              </w:rPr>
            </w:pPr>
            <w:r w:rsidRPr="00D50D1E">
              <w:rPr>
                <w:lang w:val="pl-PL"/>
              </w:rPr>
              <w:t>0.013***</w:t>
            </w:r>
          </w:p>
        </w:tc>
        <w:tc>
          <w:tcPr>
            <w:tcW w:w="1149" w:type="dxa"/>
            <w:tcBorders>
              <w:top w:val="dotted" w:sz="4" w:space="0" w:color="auto"/>
              <w:left w:val="dotted" w:sz="4" w:space="0" w:color="auto"/>
              <w:bottom w:val="dotted" w:sz="4" w:space="0" w:color="auto"/>
              <w:right w:val="single" w:sz="4" w:space="0" w:color="000000"/>
            </w:tcBorders>
          </w:tcPr>
          <w:p w14:paraId="14538D27" w14:textId="77777777" w:rsidR="00756D68" w:rsidRPr="00D50D1E" w:rsidRDefault="00756D68" w:rsidP="00756D68">
            <w:pPr>
              <w:pStyle w:val="Normal1"/>
              <w:jc w:val="center"/>
              <w:rPr>
                <w:szCs w:val="20"/>
                <w:lang w:val="pl-PL"/>
              </w:rPr>
            </w:pPr>
            <w:r w:rsidRPr="00D50D1E">
              <w:rPr>
                <w:lang w:val="pl-PL"/>
              </w:rPr>
              <w:t>-0.023***</w:t>
            </w:r>
          </w:p>
        </w:tc>
      </w:tr>
      <w:tr w:rsidR="00756D68" w14:paraId="3F76279F" w14:textId="77777777" w:rsidTr="000E7881">
        <w:tc>
          <w:tcPr>
            <w:tcW w:w="726" w:type="dxa"/>
            <w:vMerge/>
            <w:tcBorders>
              <w:right w:val="dotted" w:sz="4" w:space="0" w:color="auto"/>
            </w:tcBorders>
            <w:shd w:val="clear" w:color="auto" w:fill="FFFF00"/>
          </w:tcPr>
          <w:p w14:paraId="0B224981"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3D6A7EBA" w14:textId="77777777" w:rsidR="00756D68" w:rsidRPr="00D50D1E" w:rsidRDefault="00756D68" w:rsidP="00756D68">
            <w:pPr>
              <w:pStyle w:val="Normal1"/>
              <w:rPr>
                <w:szCs w:val="20"/>
                <w:lang w:val="pl-PL"/>
              </w:rPr>
            </w:pPr>
            <w:r w:rsidRPr="00D50D1E">
              <w:rPr>
                <w:szCs w:val="20"/>
                <w:lang w:val="pl-PL"/>
              </w:rPr>
              <w:t>opolskie</w:t>
            </w:r>
          </w:p>
        </w:tc>
        <w:tc>
          <w:tcPr>
            <w:tcW w:w="1052" w:type="dxa"/>
            <w:gridSpan w:val="2"/>
            <w:tcBorders>
              <w:top w:val="dotted" w:sz="4" w:space="0" w:color="auto"/>
              <w:left w:val="dotted" w:sz="4" w:space="0" w:color="auto"/>
              <w:bottom w:val="dotted" w:sz="4" w:space="0" w:color="auto"/>
              <w:right w:val="dotted" w:sz="4" w:space="0" w:color="auto"/>
            </w:tcBorders>
          </w:tcPr>
          <w:p w14:paraId="398C8D7F" w14:textId="77777777" w:rsidR="00756D68" w:rsidRPr="00D50D1E" w:rsidRDefault="00756D68" w:rsidP="00756D68">
            <w:pPr>
              <w:pStyle w:val="Normal1"/>
              <w:jc w:val="center"/>
              <w:rPr>
                <w:szCs w:val="20"/>
                <w:lang w:val="pl-PL"/>
              </w:rPr>
            </w:pPr>
            <w:r w:rsidRPr="00D50D1E">
              <w:rPr>
                <w:lang w:val="pl-PL"/>
              </w:rPr>
              <w:t>-0.001</w:t>
            </w:r>
          </w:p>
        </w:tc>
        <w:tc>
          <w:tcPr>
            <w:tcW w:w="1028" w:type="dxa"/>
            <w:tcBorders>
              <w:top w:val="dotted" w:sz="4" w:space="0" w:color="auto"/>
              <w:left w:val="dotted" w:sz="4" w:space="0" w:color="auto"/>
              <w:bottom w:val="dotted" w:sz="4" w:space="0" w:color="auto"/>
              <w:right w:val="dotted" w:sz="4" w:space="0" w:color="auto"/>
            </w:tcBorders>
          </w:tcPr>
          <w:p w14:paraId="601D1880" w14:textId="77777777" w:rsidR="00756D68" w:rsidRPr="00D50D1E" w:rsidRDefault="00756D68" w:rsidP="00756D68">
            <w:pPr>
              <w:pStyle w:val="Normal1"/>
              <w:jc w:val="center"/>
              <w:rPr>
                <w:szCs w:val="20"/>
                <w:lang w:val="pl-PL"/>
              </w:rPr>
            </w:pPr>
            <w:r w:rsidRPr="00D50D1E">
              <w:rPr>
                <w:lang w:val="pl-PL"/>
              </w:rPr>
              <w:t>0.012**</w:t>
            </w:r>
          </w:p>
        </w:tc>
        <w:tc>
          <w:tcPr>
            <w:tcW w:w="1167" w:type="dxa"/>
            <w:gridSpan w:val="2"/>
            <w:tcBorders>
              <w:top w:val="dotted" w:sz="4" w:space="0" w:color="auto"/>
              <w:left w:val="dotted" w:sz="4" w:space="0" w:color="auto"/>
              <w:bottom w:val="dotted" w:sz="4" w:space="0" w:color="auto"/>
              <w:right w:val="dotted" w:sz="4" w:space="0" w:color="auto"/>
            </w:tcBorders>
          </w:tcPr>
          <w:p w14:paraId="5741DEC2" w14:textId="77777777" w:rsidR="00756D68" w:rsidRPr="00D50D1E" w:rsidRDefault="00756D68" w:rsidP="00756D68">
            <w:pPr>
              <w:pStyle w:val="Normal1"/>
              <w:jc w:val="center"/>
              <w:rPr>
                <w:szCs w:val="20"/>
                <w:lang w:val="pl-PL"/>
              </w:rPr>
            </w:pPr>
            <w:r w:rsidRPr="00D50D1E">
              <w:rPr>
                <w:lang w:val="pl-PL"/>
              </w:rPr>
              <w:t>-0.026*</w:t>
            </w:r>
          </w:p>
        </w:tc>
        <w:tc>
          <w:tcPr>
            <w:tcW w:w="1134" w:type="dxa"/>
            <w:gridSpan w:val="2"/>
            <w:tcBorders>
              <w:top w:val="dotted" w:sz="4" w:space="0" w:color="auto"/>
              <w:left w:val="dotted" w:sz="4" w:space="0" w:color="auto"/>
              <w:bottom w:val="dotted" w:sz="4" w:space="0" w:color="auto"/>
              <w:right w:val="dotted" w:sz="4" w:space="0" w:color="auto"/>
            </w:tcBorders>
          </w:tcPr>
          <w:p w14:paraId="150BA6C6" w14:textId="77777777" w:rsidR="00756D68" w:rsidRPr="00D50D1E" w:rsidRDefault="00756D68" w:rsidP="00756D68">
            <w:pPr>
              <w:pStyle w:val="Normal1"/>
              <w:jc w:val="center"/>
              <w:rPr>
                <w:szCs w:val="20"/>
                <w:lang w:val="pl-PL"/>
              </w:rPr>
            </w:pPr>
            <w:r w:rsidRPr="00D50D1E">
              <w:rPr>
                <w:lang w:val="pl-PL"/>
              </w:rPr>
              <w:t>-0.015**</w:t>
            </w:r>
          </w:p>
        </w:tc>
        <w:tc>
          <w:tcPr>
            <w:tcW w:w="1149" w:type="dxa"/>
            <w:tcBorders>
              <w:top w:val="dotted" w:sz="4" w:space="0" w:color="auto"/>
              <w:left w:val="dotted" w:sz="4" w:space="0" w:color="auto"/>
              <w:bottom w:val="dotted" w:sz="4" w:space="0" w:color="auto"/>
              <w:right w:val="single" w:sz="4" w:space="0" w:color="000000"/>
            </w:tcBorders>
          </w:tcPr>
          <w:p w14:paraId="7B09BBCA" w14:textId="77777777" w:rsidR="00756D68" w:rsidRPr="00D50D1E" w:rsidRDefault="00756D68" w:rsidP="00756D68">
            <w:pPr>
              <w:pStyle w:val="Normal1"/>
              <w:jc w:val="center"/>
              <w:rPr>
                <w:szCs w:val="20"/>
                <w:lang w:val="pl-PL"/>
              </w:rPr>
            </w:pPr>
            <w:r w:rsidRPr="00D50D1E">
              <w:rPr>
                <w:lang w:val="pl-PL"/>
              </w:rPr>
              <w:t>-0.023***</w:t>
            </w:r>
          </w:p>
        </w:tc>
      </w:tr>
      <w:tr w:rsidR="00756D68" w14:paraId="1384DF7A" w14:textId="77777777" w:rsidTr="000E7881">
        <w:tc>
          <w:tcPr>
            <w:tcW w:w="726" w:type="dxa"/>
            <w:vMerge/>
            <w:tcBorders>
              <w:right w:val="dotted" w:sz="4" w:space="0" w:color="auto"/>
            </w:tcBorders>
            <w:shd w:val="clear" w:color="auto" w:fill="FFFF00"/>
          </w:tcPr>
          <w:p w14:paraId="32DAE6B0"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12D0C54F" w14:textId="77777777" w:rsidR="00756D68" w:rsidRPr="00D50D1E" w:rsidRDefault="00756D68" w:rsidP="00756D68">
            <w:pPr>
              <w:pStyle w:val="Normal1"/>
              <w:rPr>
                <w:szCs w:val="20"/>
                <w:lang w:val="pl-PL"/>
              </w:rPr>
            </w:pPr>
            <w:r w:rsidRPr="00D50D1E">
              <w:rPr>
                <w:szCs w:val="20"/>
                <w:lang w:val="pl-PL"/>
              </w:rPr>
              <w:t>podkarpackie</w:t>
            </w:r>
          </w:p>
        </w:tc>
        <w:tc>
          <w:tcPr>
            <w:tcW w:w="1052" w:type="dxa"/>
            <w:gridSpan w:val="2"/>
            <w:tcBorders>
              <w:top w:val="dotted" w:sz="4" w:space="0" w:color="auto"/>
              <w:left w:val="dotted" w:sz="4" w:space="0" w:color="auto"/>
              <w:bottom w:val="dotted" w:sz="4" w:space="0" w:color="auto"/>
              <w:right w:val="dotted" w:sz="4" w:space="0" w:color="auto"/>
            </w:tcBorders>
          </w:tcPr>
          <w:p w14:paraId="6E2E133B" w14:textId="77777777" w:rsidR="00756D68" w:rsidRPr="00D50D1E" w:rsidRDefault="00756D68" w:rsidP="00756D68">
            <w:pPr>
              <w:pStyle w:val="Normal1"/>
              <w:jc w:val="center"/>
              <w:rPr>
                <w:szCs w:val="20"/>
                <w:lang w:val="pl-PL"/>
              </w:rPr>
            </w:pPr>
            <w:r w:rsidRPr="00D50D1E">
              <w:rPr>
                <w:lang w:val="pl-PL"/>
              </w:rPr>
              <w:t>0.006</w:t>
            </w:r>
          </w:p>
        </w:tc>
        <w:tc>
          <w:tcPr>
            <w:tcW w:w="1028" w:type="dxa"/>
            <w:tcBorders>
              <w:top w:val="dotted" w:sz="4" w:space="0" w:color="auto"/>
              <w:left w:val="dotted" w:sz="4" w:space="0" w:color="auto"/>
              <w:bottom w:val="dotted" w:sz="4" w:space="0" w:color="auto"/>
              <w:right w:val="dotted" w:sz="4" w:space="0" w:color="auto"/>
            </w:tcBorders>
          </w:tcPr>
          <w:p w14:paraId="78A4ACBA" w14:textId="77777777" w:rsidR="00756D68" w:rsidRPr="00D50D1E" w:rsidRDefault="00756D68" w:rsidP="00756D68">
            <w:pPr>
              <w:pStyle w:val="Normal1"/>
              <w:jc w:val="center"/>
              <w:rPr>
                <w:szCs w:val="20"/>
                <w:lang w:val="pl-PL"/>
              </w:rPr>
            </w:pPr>
            <w:r w:rsidRPr="00D50D1E">
              <w:rPr>
                <w:lang w:val="pl-PL"/>
              </w:rPr>
              <w:t>0.001</w:t>
            </w:r>
          </w:p>
        </w:tc>
        <w:tc>
          <w:tcPr>
            <w:tcW w:w="1167" w:type="dxa"/>
            <w:gridSpan w:val="2"/>
            <w:tcBorders>
              <w:top w:val="dotted" w:sz="4" w:space="0" w:color="auto"/>
              <w:left w:val="dotted" w:sz="4" w:space="0" w:color="auto"/>
              <w:bottom w:val="dotted" w:sz="4" w:space="0" w:color="auto"/>
              <w:right w:val="dotted" w:sz="4" w:space="0" w:color="auto"/>
            </w:tcBorders>
          </w:tcPr>
          <w:p w14:paraId="608343CB" w14:textId="77777777" w:rsidR="00756D68" w:rsidRPr="00D50D1E" w:rsidRDefault="00756D68" w:rsidP="00756D68">
            <w:pPr>
              <w:pStyle w:val="Normal1"/>
              <w:jc w:val="center"/>
              <w:rPr>
                <w:szCs w:val="20"/>
                <w:lang w:val="pl-PL"/>
              </w:rPr>
            </w:pPr>
            <w:r w:rsidRPr="00D50D1E">
              <w:rPr>
                <w:lang w:val="pl-PL"/>
              </w:rPr>
              <w:t>0.004</w:t>
            </w:r>
          </w:p>
        </w:tc>
        <w:tc>
          <w:tcPr>
            <w:tcW w:w="1134" w:type="dxa"/>
            <w:gridSpan w:val="2"/>
            <w:tcBorders>
              <w:top w:val="dotted" w:sz="4" w:space="0" w:color="auto"/>
              <w:left w:val="dotted" w:sz="4" w:space="0" w:color="auto"/>
              <w:bottom w:val="dotted" w:sz="4" w:space="0" w:color="auto"/>
              <w:right w:val="dotted" w:sz="4" w:space="0" w:color="auto"/>
            </w:tcBorders>
          </w:tcPr>
          <w:p w14:paraId="26CCB610" w14:textId="77777777" w:rsidR="00756D68" w:rsidRPr="00D50D1E" w:rsidRDefault="00756D68" w:rsidP="00756D68">
            <w:pPr>
              <w:pStyle w:val="Normal1"/>
              <w:jc w:val="center"/>
              <w:rPr>
                <w:szCs w:val="20"/>
                <w:lang w:val="pl-PL"/>
              </w:rPr>
            </w:pPr>
            <w:r w:rsidRPr="00D50D1E">
              <w:rPr>
                <w:lang w:val="pl-PL"/>
              </w:rPr>
              <w:t>-0.005</w:t>
            </w:r>
          </w:p>
        </w:tc>
        <w:tc>
          <w:tcPr>
            <w:tcW w:w="1149" w:type="dxa"/>
            <w:tcBorders>
              <w:top w:val="dotted" w:sz="4" w:space="0" w:color="auto"/>
              <w:left w:val="dotted" w:sz="4" w:space="0" w:color="auto"/>
              <w:bottom w:val="dotted" w:sz="4" w:space="0" w:color="auto"/>
              <w:right w:val="single" w:sz="4" w:space="0" w:color="000000"/>
            </w:tcBorders>
          </w:tcPr>
          <w:p w14:paraId="16714C32" w14:textId="77777777" w:rsidR="00756D68" w:rsidRPr="00D50D1E" w:rsidRDefault="00756D68" w:rsidP="00756D68">
            <w:pPr>
              <w:pStyle w:val="Normal1"/>
              <w:jc w:val="center"/>
              <w:rPr>
                <w:szCs w:val="20"/>
                <w:lang w:val="pl-PL"/>
              </w:rPr>
            </w:pPr>
            <w:r w:rsidRPr="00D50D1E">
              <w:rPr>
                <w:lang w:val="pl-PL"/>
              </w:rPr>
              <w:t>-0.073***</w:t>
            </w:r>
          </w:p>
        </w:tc>
      </w:tr>
      <w:tr w:rsidR="00756D68" w14:paraId="0ADA5F6F" w14:textId="77777777" w:rsidTr="000E7881">
        <w:tc>
          <w:tcPr>
            <w:tcW w:w="726" w:type="dxa"/>
            <w:vMerge/>
            <w:tcBorders>
              <w:right w:val="dotted" w:sz="4" w:space="0" w:color="auto"/>
            </w:tcBorders>
            <w:shd w:val="clear" w:color="auto" w:fill="FFFF00"/>
          </w:tcPr>
          <w:p w14:paraId="6B7DFF78"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5BBE889E" w14:textId="77777777" w:rsidR="00756D68" w:rsidRPr="00D50D1E" w:rsidRDefault="00756D68" w:rsidP="00756D68">
            <w:pPr>
              <w:pStyle w:val="Normal1"/>
              <w:rPr>
                <w:szCs w:val="20"/>
                <w:lang w:val="pl-PL"/>
              </w:rPr>
            </w:pPr>
            <w:r w:rsidRPr="00D50D1E">
              <w:rPr>
                <w:szCs w:val="20"/>
                <w:lang w:val="pl-PL"/>
              </w:rPr>
              <w:t>podlaskie</w:t>
            </w:r>
          </w:p>
        </w:tc>
        <w:tc>
          <w:tcPr>
            <w:tcW w:w="1052" w:type="dxa"/>
            <w:gridSpan w:val="2"/>
            <w:tcBorders>
              <w:top w:val="dotted" w:sz="4" w:space="0" w:color="auto"/>
              <w:left w:val="dotted" w:sz="4" w:space="0" w:color="auto"/>
              <w:bottom w:val="dotted" w:sz="4" w:space="0" w:color="auto"/>
              <w:right w:val="dotted" w:sz="4" w:space="0" w:color="auto"/>
            </w:tcBorders>
          </w:tcPr>
          <w:p w14:paraId="378BF023" w14:textId="77777777" w:rsidR="00756D68" w:rsidRPr="00D50D1E" w:rsidRDefault="00756D68" w:rsidP="00756D68">
            <w:pPr>
              <w:pStyle w:val="Normal1"/>
              <w:jc w:val="center"/>
              <w:rPr>
                <w:szCs w:val="20"/>
                <w:lang w:val="pl-PL"/>
              </w:rPr>
            </w:pPr>
            <w:r w:rsidRPr="00D50D1E">
              <w:rPr>
                <w:lang w:val="pl-PL"/>
              </w:rPr>
              <w:t>0.007</w:t>
            </w:r>
          </w:p>
        </w:tc>
        <w:tc>
          <w:tcPr>
            <w:tcW w:w="1028" w:type="dxa"/>
            <w:tcBorders>
              <w:top w:val="dotted" w:sz="4" w:space="0" w:color="auto"/>
              <w:left w:val="dotted" w:sz="4" w:space="0" w:color="auto"/>
              <w:bottom w:val="dotted" w:sz="4" w:space="0" w:color="auto"/>
              <w:right w:val="dotted" w:sz="4" w:space="0" w:color="auto"/>
            </w:tcBorders>
          </w:tcPr>
          <w:p w14:paraId="0E884749" w14:textId="77777777" w:rsidR="00756D68" w:rsidRPr="00D50D1E" w:rsidRDefault="00756D68" w:rsidP="00756D68">
            <w:pPr>
              <w:pStyle w:val="Normal1"/>
              <w:jc w:val="center"/>
              <w:rPr>
                <w:szCs w:val="20"/>
                <w:lang w:val="pl-PL"/>
              </w:rPr>
            </w:pPr>
            <w:r w:rsidRPr="00D50D1E">
              <w:rPr>
                <w:lang w:val="pl-PL"/>
              </w:rPr>
              <w:t>0.001</w:t>
            </w:r>
          </w:p>
        </w:tc>
        <w:tc>
          <w:tcPr>
            <w:tcW w:w="1167" w:type="dxa"/>
            <w:gridSpan w:val="2"/>
            <w:tcBorders>
              <w:top w:val="dotted" w:sz="4" w:space="0" w:color="auto"/>
              <w:left w:val="dotted" w:sz="4" w:space="0" w:color="auto"/>
              <w:bottom w:val="dotted" w:sz="4" w:space="0" w:color="auto"/>
              <w:right w:val="dotted" w:sz="4" w:space="0" w:color="auto"/>
            </w:tcBorders>
          </w:tcPr>
          <w:p w14:paraId="1D236375" w14:textId="77777777" w:rsidR="00756D68" w:rsidRPr="00D50D1E" w:rsidRDefault="00756D68" w:rsidP="00756D68">
            <w:pPr>
              <w:pStyle w:val="Normal1"/>
              <w:jc w:val="center"/>
              <w:rPr>
                <w:szCs w:val="20"/>
                <w:lang w:val="pl-PL"/>
              </w:rPr>
            </w:pPr>
            <w:r w:rsidRPr="00D50D1E">
              <w:rPr>
                <w:lang w:val="pl-PL"/>
              </w:rPr>
              <w:t>-0.024*</w:t>
            </w:r>
          </w:p>
        </w:tc>
        <w:tc>
          <w:tcPr>
            <w:tcW w:w="1134" w:type="dxa"/>
            <w:gridSpan w:val="2"/>
            <w:tcBorders>
              <w:top w:val="dotted" w:sz="4" w:space="0" w:color="auto"/>
              <w:left w:val="dotted" w:sz="4" w:space="0" w:color="auto"/>
              <w:bottom w:val="dotted" w:sz="4" w:space="0" w:color="auto"/>
              <w:right w:val="dotted" w:sz="4" w:space="0" w:color="auto"/>
            </w:tcBorders>
          </w:tcPr>
          <w:p w14:paraId="71AB5239" w14:textId="77777777" w:rsidR="00756D68" w:rsidRPr="00D50D1E" w:rsidRDefault="00756D68" w:rsidP="00756D68">
            <w:pPr>
              <w:pStyle w:val="Normal1"/>
              <w:jc w:val="center"/>
              <w:rPr>
                <w:szCs w:val="20"/>
                <w:lang w:val="pl-PL"/>
              </w:rPr>
            </w:pPr>
            <w:r w:rsidRPr="00D50D1E">
              <w:rPr>
                <w:lang w:val="pl-PL"/>
              </w:rPr>
              <w:t>-0.006</w:t>
            </w:r>
          </w:p>
        </w:tc>
        <w:tc>
          <w:tcPr>
            <w:tcW w:w="1149" w:type="dxa"/>
            <w:tcBorders>
              <w:top w:val="dotted" w:sz="4" w:space="0" w:color="auto"/>
              <w:left w:val="dotted" w:sz="4" w:space="0" w:color="auto"/>
              <w:bottom w:val="dotted" w:sz="4" w:space="0" w:color="auto"/>
              <w:right w:val="single" w:sz="4" w:space="0" w:color="000000"/>
            </w:tcBorders>
          </w:tcPr>
          <w:p w14:paraId="547E42ED" w14:textId="77777777" w:rsidR="00756D68" w:rsidRPr="00D50D1E" w:rsidRDefault="00756D68" w:rsidP="00756D68">
            <w:pPr>
              <w:pStyle w:val="Normal1"/>
              <w:jc w:val="center"/>
              <w:rPr>
                <w:szCs w:val="20"/>
                <w:lang w:val="pl-PL"/>
              </w:rPr>
            </w:pPr>
            <w:r w:rsidRPr="00D50D1E">
              <w:rPr>
                <w:lang w:val="pl-PL"/>
              </w:rPr>
              <w:t>-0.050***</w:t>
            </w:r>
          </w:p>
        </w:tc>
      </w:tr>
      <w:tr w:rsidR="00756D68" w14:paraId="714F706B" w14:textId="77777777" w:rsidTr="000E7881">
        <w:tc>
          <w:tcPr>
            <w:tcW w:w="726" w:type="dxa"/>
            <w:vMerge/>
            <w:tcBorders>
              <w:right w:val="dotted" w:sz="4" w:space="0" w:color="auto"/>
            </w:tcBorders>
            <w:shd w:val="clear" w:color="auto" w:fill="FFFF00"/>
          </w:tcPr>
          <w:p w14:paraId="768BD6EC"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6DC12560" w14:textId="77777777" w:rsidR="00756D68" w:rsidRPr="00D50D1E" w:rsidRDefault="00756D68" w:rsidP="00756D68">
            <w:pPr>
              <w:pStyle w:val="Normal1"/>
              <w:rPr>
                <w:szCs w:val="20"/>
                <w:lang w:val="pl-PL"/>
              </w:rPr>
            </w:pPr>
            <w:r w:rsidRPr="00D50D1E">
              <w:rPr>
                <w:szCs w:val="20"/>
                <w:lang w:val="pl-PL"/>
              </w:rPr>
              <w:t>pomorskie</w:t>
            </w:r>
          </w:p>
        </w:tc>
        <w:tc>
          <w:tcPr>
            <w:tcW w:w="1052" w:type="dxa"/>
            <w:gridSpan w:val="2"/>
            <w:tcBorders>
              <w:top w:val="dotted" w:sz="4" w:space="0" w:color="auto"/>
              <w:left w:val="dotted" w:sz="4" w:space="0" w:color="auto"/>
              <w:bottom w:val="dotted" w:sz="4" w:space="0" w:color="auto"/>
              <w:right w:val="dotted" w:sz="4" w:space="0" w:color="auto"/>
            </w:tcBorders>
          </w:tcPr>
          <w:p w14:paraId="25C3C7A4" w14:textId="77777777" w:rsidR="00756D68" w:rsidRPr="00D50D1E" w:rsidRDefault="00756D68" w:rsidP="00756D68">
            <w:pPr>
              <w:pStyle w:val="Normal1"/>
              <w:jc w:val="center"/>
              <w:rPr>
                <w:szCs w:val="20"/>
                <w:lang w:val="pl-PL"/>
              </w:rPr>
            </w:pPr>
            <w:r w:rsidRPr="00D50D1E">
              <w:rPr>
                <w:lang w:val="pl-PL"/>
              </w:rPr>
              <w:t>0.005</w:t>
            </w:r>
          </w:p>
        </w:tc>
        <w:tc>
          <w:tcPr>
            <w:tcW w:w="1028" w:type="dxa"/>
            <w:tcBorders>
              <w:top w:val="dotted" w:sz="4" w:space="0" w:color="auto"/>
              <w:left w:val="dotted" w:sz="4" w:space="0" w:color="auto"/>
              <w:bottom w:val="dotted" w:sz="4" w:space="0" w:color="auto"/>
              <w:right w:val="dotted" w:sz="4" w:space="0" w:color="auto"/>
            </w:tcBorders>
          </w:tcPr>
          <w:p w14:paraId="62CEAA7B" w14:textId="77777777" w:rsidR="00756D68" w:rsidRPr="00D50D1E" w:rsidRDefault="00756D68" w:rsidP="00756D68">
            <w:pPr>
              <w:pStyle w:val="Normal1"/>
              <w:jc w:val="center"/>
              <w:rPr>
                <w:szCs w:val="20"/>
                <w:lang w:val="pl-PL"/>
              </w:rPr>
            </w:pPr>
            <w:r w:rsidRPr="00D50D1E">
              <w:rPr>
                <w:lang w:val="pl-PL"/>
              </w:rPr>
              <w:t>0.010**</w:t>
            </w:r>
          </w:p>
        </w:tc>
        <w:tc>
          <w:tcPr>
            <w:tcW w:w="1167" w:type="dxa"/>
            <w:gridSpan w:val="2"/>
            <w:tcBorders>
              <w:top w:val="dotted" w:sz="4" w:space="0" w:color="auto"/>
              <w:left w:val="dotted" w:sz="4" w:space="0" w:color="auto"/>
              <w:bottom w:val="dotted" w:sz="4" w:space="0" w:color="auto"/>
              <w:right w:val="dotted" w:sz="4" w:space="0" w:color="auto"/>
            </w:tcBorders>
          </w:tcPr>
          <w:p w14:paraId="2D6F0A99" w14:textId="77777777" w:rsidR="00756D68" w:rsidRPr="00D50D1E" w:rsidRDefault="00756D68" w:rsidP="00756D68">
            <w:pPr>
              <w:pStyle w:val="Normal1"/>
              <w:jc w:val="center"/>
              <w:rPr>
                <w:szCs w:val="20"/>
                <w:lang w:val="pl-PL"/>
              </w:rPr>
            </w:pPr>
            <w:r w:rsidRPr="00D50D1E">
              <w:rPr>
                <w:lang w:val="pl-PL"/>
              </w:rPr>
              <w:t>0.011</w:t>
            </w:r>
          </w:p>
        </w:tc>
        <w:tc>
          <w:tcPr>
            <w:tcW w:w="1134" w:type="dxa"/>
            <w:gridSpan w:val="2"/>
            <w:tcBorders>
              <w:top w:val="dotted" w:sz="4" w:space="0" w:color="auto"/>
              <w:left w:val="dotted" w:sz="4" w:space="0" w:color="auto"/>
              <w:bottom w:val="dotted" w:sz="4" w:space="0" w:color="auto"/>
              <w:right w:val="dotted" w:sz="4" w:space="0" w:color="auto"/>
            </w:tcBorders>
          </w:tcPr>
          <w:p w14:paraId="17F6683A" w14:textId="77777777" w:rsidR="00756D68" w:rsidRPr="00D50D1E" w:rsidRDefault="00756D68" w:rsidP="00756D68">
            <w:pPr>
              <w:pStyle w:val="Normal1"/>
              <w:jc w:val="center"/>
              <w:rPr>
                <w:szCs w:val="20"/>
                <w:lang w:val="pl-PL"/>
              </w:rPr>
            </w:pPr>
            <w:r w:rsidRPr="00D50D1E">
              <w:rPr>
                <w:lang w:val="pl-PL"/>
              </w:rPr>
              <w:t>0.005</w:t>
            </w:r>
          </w:p>
        </w:tc>
        <w:tc>
          <w:tcPr>
            <w:tcW w:w="1149" w:type="dxa"/>
            <w:tcBorders>
              <w:top w:val="dotted" w:sz="4" w:space="0" w:color="auto"/>
              <w:left w:val="dotted" w:sz="4" w:space="0" w:color="auto"/>
              <w:bottom w:val="dotted" w:sz="4" w:space="0" w:color="auto"/>
              <w:right w:val="single" w:sz="4" w:space="0" w:color="000000"/>
            </w:tcBorders>
          </w:tcPr>
          <w:p w14:paraId="630927F9" w14:textId="77777777" w:rsidR="00756D68" w:rsidRPr="00D50D1E" w:rsidRDefault="00756D68" w:rsidP="00756D68">
            <w:pPr>
              <w:pStyle w:val="Normal1"/>
              <w:jc w:val="center"/>
              <w:rPr>
                <w:szCs w:val="20"/>
                <w:lang w:val="pl-PL"/>
              </w:rPr>
            </w:pPr>
            <w:r w:rsidRPr="00D50D1E">
              <w:rPr>
                <w:lang w:val="pl-PL"/>
              </w:rPr>
              <w:t>-0.040***</w:t>
            </w:r>
          </w:p>
        </w:tc>
      </w:tr>
      <w:tr w:rsidR="00756D68" w14:paraId="7CF22AC5" w14:textId="77777777" w:rsidTr="000E7881">
        <w:tc>
          <w:tcPr>
            <w:tcW w:w="726" w:type="dxa"/>
            <w:vMerge/>
            <w:tcBorders>
              <w:right w:val="dotted" w:sz="4" w:space="0" w:color="auto"/>
            </w:tcBorders>
            <w:shd w:val="clear" w:color="auto" w:fill="FFFF00"/>
          </w:tcPr>
          <w:p w14:paraId="0F98A778"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6E5D5DF7" w14:textId="77777777" w:rsidR="00756D68" w:rsidRPr="00D50D1E" w:rsidRDefault="00756D68" w:rsidP="00756D68">
            <w:pPr>
              <w:pStyle w:val="Normal1"/>
              <w:rPr>
                <w:szCs w:val="20"/>
                <w:lang w:val="pl-PL"/>
              </w:rPr>
            </w:pPr>
            <w:r w:rsidRPr="00D50D1E">
              <w:rPr>
                <w:szCs w:val="20"/>
                <w:lang w:val="pl-PL"/>
              </w:rPr>
              <w:t>śląskie</w:t>
            </w:r>
          </w:p>
        </w:tc>
        <w:tc>
          <w:tcPr>
            <w:tcW w:w="1052" w:type="dxa"/>
            <w:gridSpan w:val="2"/>
            <w:tcBorders>
              <w:top w:val="dotted" w:sz="4" w:space="0" w:color="auto"/>
              <w:left w:val="dotted" w:sz="4" w:space="0" w:color="auto"/>
              <w:bottom w:val="dotted" w:sz="4" w:space="0" w:color="auto"/>
              <w:right w:val="dotted" w:sz="4" w:space="0" w:color="auto"/>
            </w:tcBorders>
          </w:tcPr>
          <w:p w14:paraId="0EEAAF7D" w14:textId="77777777" w:rsidR="00756D68" w:rsidRPr="00D50D1E" w:rsidRDefault="00756D68" w:rsidP="00756D68">
            <w:pPr>
              <w:pStyle w:val="Normal1"/>
              <w:jc w:val="center"/>
              <w:rPr>
                <w:szCs w:val="20"/>
                <w:lang w:val="pl-PL"/>
              </w:rPr>
            </w:pPr>
            <w:r w:rsidRPr="00D50D1E">
              <w:rPr>
                <w:lang w:val="pl-PL"/>
              </w:rPr>
              <w:t>-0.003</w:t>
            </w:r>
          </w:p>
        </w:tc>
        <w:tc>
          <w:tcPr>
            <w:tcW w:w="1028" w:type="dxa"/>
            <w:tcBorders>
              <w:top w:val="dotted" w:sz="4" w:space="0" w:color="auto"/>
              <w:left w:val="dotted" w:sz="4" w:space="0" w:color="auto"/>
              <w:bottom w:val="dotted" w:sz="4" w:space="0" w:color="auto"/>
              <w:right w:val="dotted" w:sz="4" w:space="0" w:color="auto"/>
            </w:tcBorders>
          </w:tcPr>
          <w:p w14:paraId="5C5B1178" w14:textId="77777777" w:rsidR="00756D68" w:rsidRPr="00D50D1E" w:rsidRDefault="00756D68" w:rsidP="00756D68">
            <w:pPr>
              <w:pStyle w:val="Normal1"/>
              <w:jc w:val="center"/>
              <w:rPr>
                <w:szCs w:val="20"/>
                <w:lang w:val="pl-PL"/>
              </w:rPr>
            </w:pPr>
            <w:r w:rsidRPr="00D50D1E">
              <w:rPr>
                <w:lang w:val="pl-PL"/>
              </w:rPr>
              <w:t>0.001</w:t>
            </w:r>
          </w:p>
        </w:tc>
        <w:tc>
          <w:tcPr>
            <w:tcW w:w="1167" w:type="dxa"/>
            <w:gridSpan w:val="2"/>
            <w:tcBorders>
              <w:top w:val="dotted" w:sz="4" w:space="0" w:color="auto"/>
              <w:left w:val="dotted" w:sz="4" w:space="0" w:color="auto"/>
              <w:bottom w:val="dotted" w:sz="4" w:space="0" w:color="auto"/>
              <w:right w:val="dotted" w:sz="4" w:space="0" w:color="auto"/>
            </w:tcBorders>
          </w:tcPr>
          <w:p w14:paraId="2CBA183D" w14:textId="77777777" w:rsidR="00756D68" w:rsidRPr="00D50D1E" w:rsidRDefault="00756D68" w:rsidP="00756D68">
            <w:pPr>
              <w:pStyle w:val="Normal1"/>
              <w:jc w:val="center"/>
              <w:rPr>
                <w:szCs w:val="20"/>
                <w:lang w:val="pl-PL"/>
              </w:rPr>
            </w:pPr>
            <w:r w:rsidRPr="00D50D1E">
              <w:rPr>
                <w:lang w:val="pl-PL"/>
              </w:rPr>
              <w:t>0.022**</w:t>
            </w:r>
          </w:p>
        </w:tc>
        <w:tc>
          <w:tcPr>
            <w:tcW w:w="1134" w:type="dxa"/>
            <w:gridSpan w:val="2"/>
            <w:tcBorders>
              <w:top w:val="dotted" w:sz="4" w:space="0" w:color="auto"/>
              <w:left w:val="dotted" w:sz="4" w:space="0" w:color="auto"/>
              <w:bottom w:val="dotted" w:sz="4" w:space="0" w:color="auto"/>
              <w:right w:val="dotted" w:sz="4" w:space="0" w:color="auto"/>
            </w:tcBorders>
          </w:tcPr>
          <w:p w14:paraId="7A40A85C" w14:textId="77777777" w:rsidR="00756D68" w:rsidRPr="00D50D1E" w:rsidRDefault="00756D68" w:rsidP="00756D68">
            <w:pPr>
              <w:pStyle w:val="Normal1"/>
              <w:jc w:val="center"/>
              <w:rPr>
                <w:szCs w:val="20"/>
                <w:lang w:val="pl-PL"/>
              </w:rPr>
            </w:pPr>
            <w:r w:rsidRPr="00D50D1E">
              <w:rPr>
                <w:lang w:val="pl-PL"/>
              </w:rPr>
              <w:t>0.006</w:t>
            </w:r>
          </w:p>
        </w:tc>
        <w:tc>
          <w:tcPr>
            <w:tcW w:w="1149" w:type="dxa"/>
            <w:tcBorders>
              <w:top w:val="dotted" w:sz="4" w:space="0" w:color="auto"/>
              <w:left w:val="dotted" w:sz="4" w:space="0" w:color="auto"/>
              <w:bottom w:val="dotted" w:sz="4" w:space="0" w:color="auto"/>
              <w:right w:val="single" w:sz="4" w:space="0" w:color="000000"/>
            </w:tcBorders>
          </w:tcPr>
          <w:p w14:paraId="1D87C736" w14:textId="77777777" w:rsidR="00756D68" w:rsidRPr="00D50D1E" w:rsidRDefault="00756D68" w:rsidP="00756D68">
            <w:pPr>
              <w:pStyle w:val="Normal1"/>
              <w:jc w:val="center"/>
              <w:rPr>
                <w:szCs w:val="20"/>
                <w:lang w:val="pl-PL"/>
              </w:rPr>
            </w:pPr>
            <w:r w:rsidRPr="00D50D1E">
              <w:rPr>
                <w:lang w:val="pl-PL"/>
              </w:rPr>
              <w:t>-0.026***</w:t>
            </w:r>
          </w:p>
        </w:tc>
      </w:tr>
      <w:tr w:rsidR="00756D68" w14:paraId="52857B21" w14:textId="77777777" w:rsidTr="000E7881">
        <w:tc>
          <w:tcPr>
            <w:tcW w:w="726" w:type="dxa"/>
            <w:vMerge/>
            <w:tcBorders>
              <w:right w:val="dotted" w:sz="4" w:space="0" w:color="auto"/>
            </w:tcBorders>
            <w:shd w:val="clear" w:color="auto" w:fill="FFFF00"/>
          </w:tcPr>
          <w:p w14:paraId="715FC4B2"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0209C7B2" w14:textId="77777777" w:rsidR="00756D68" w:rsidRPr="00D50D1E" w:rsidRDefault="00756D68" w:rsidP="00756D68">
            <w:pPr>
              <w:pStyle w:val="Normal1"/>
              <w:rPr>
                <w:szCs w:val="20"/>
                <w:lang w:val="pl-PL"/>
              </w:rPr>
            </w:pPr>
            <w:r w:rsidRPr="00D50D1E">
              <w:rPr>
                <w:szCs w:val="20"/>
                <w:lang w:val="pl-PL"/>
              </w:rPr>
              <w:t>świętokrzyskie</w:t>
            </w:r>
          </w:p>
        </w:tc>
        <w:tc>
          <w:tcPr>
            <w:tcW w:w="1052" w:type="dxa"/>
            <w:gridSpan w:val="2"/>
            <w:tcBorders>
              <w:top w:val="dotted" w:sz="4" w:space="0" w:color="auto"/>
              <w:left w:val="dotted" w:sz="4" w:space="0" w:color="auto"/>
              <w:bottom w:val="dotted" w:sz="4" w:space="0" w:color="auto"/>
              <w:right w:val="dotted" w:sz="4" w:space="0" w:color="auto"/>
            </w:tcBorders>
          </w:tcPr>
          <w:p w14:paraId="4C3EA1D9" w14:textId="77777777" w:rsidR="00756D68" w:rsidRPr="00D50D1E" w:rsidRDefault="00756D68" w:rsidP="00756D68">
            <w:pPr>
              <w:pStyle w:val="Normal1"/>
              <w:jc w:val="center"/>
              <w:rPr>
                <w:szCs w:val="20"/>
                <w:lang w:val="pl-PL"/>
              </w:rPr>
            </w:pPr>
            <w:r w:rsidRPr="00D50D1E">
              <w:rPr>
                <w:lang w:val="pl-PL"/>
              </w:rPr>
              <w:t>0.009</w:t>
            </w:r>
          </w:p>
        </w:tc>
        <w:tc>
          <w:tcPr>
            <w:tcW w:w="1028" w:type="dxa"/>
            <w:tcBorders>
              <w:top w:val="dotted" w:sz="4" w:space="0" w:color="auto"/>
              <w:left w:val="dotted" w:sz="4" w:space="0" w:color="auto"/>
              <w:bottom w:val="dotted" w:sz="4" w:space="0" w:color="auto"/>
              <w:right w:val="dotted" w:sz="4" w:space="0" w:color="auto"/>
            </w:tcBorders>
          </w:tcPr>
          <w:p w14:paraId="19D3E5CB" w14:textId="77777777" w:rsidR="00756D68" w:rsidRPr="00D50D1E" w:rsidRDefault="00756D68" w:rsidP="00756D68">
            <w:pPr>
              <w:pStyle w:val="Normal1"/>
              <w:jc w:val="center"/>
              <w:rPr>
                <w:szCs w:val="20"/>
                <w:lang w:val="pl-PL"/>
              </w:rPr>
            </w:pPr>
            <w:r w:rsidRPr="00D50D1E">
              <w:rPr>
                <w:lang w:val="pl-PL"/>
              </w:rPr>
              <w:t>0.002</w:t>
            </w:r>
          </w:p>
        </w:tc>
        <w:tc>
          <w:tcPr>
            <w:tcW w:w="1167" w:type="dxa"/>
            <w:gridSpan w:val="2"/>
            <w:tcBorders>
              <w:top w:val="dotted" w:sz="4" w:space="0" w:color="auto"/>
              <w:left w:val="dotted" w:sz="4" w:space="0" w:color="auto"/>
              <w:bottom w:val="dotted" w:sz="4" w:space="0" w:color="auto"/>
              <w:right w:val="dotted" w:sz="4" w:space="0" w:color="auto"/>
            </w:tcBorders>
          </w:tcPr>
          <w:p w14:paraId="71234CB3" w14:textId="77777777" w:rsidR="00756D68" w:rsidRPr="00D50D1E" w:rsidRDefault="00756D68" w:rsidP="00756D68">
            <w:pPr>
              <w:pStyle w:val="Normal1"/>
              <w:jc w:val="center"/>
              <w:rPr>
                <w:szCs w:val="20"/>
                <w:lang w:val="pl-PL"/>
              </w:rPr>
            </w:pPr>
            <w:r w:rsidRPr="00D50D1E">
              <w:rPr>
                <w:lang w:val="pl-PL"/>
              </w:rPr>
              <w:t>0.013</w:t>
            </w:r>
          </w:p>
        </w:tc>
        <w:tc>
          <w:tcPr>
            <w:tcW w:w="1134" w:type="dxa"/>
            <w:gridSpan w:val="2"/>
            <w:tcBorders>
              <w:top w:val="dotted" w:sz="4" w:space="0" w:color="auto"/>
              <w:left w:val="dotted" w:sz="4" w:space="0" w:color="auto"/>
              <w:bottom w:val="dotted" w:sz="4" w:space="0" w:color="auto"/>
              <w:right w:val="dotted" w:sz="4" w:space="0" w:color="auto"/>
            </w:tcBorders>
          </w:tcPr>
          <w:p w14:paraId="72425274" w14:textId="77777777" w:rsidR="00756D68" w:rsidRPr="00D50D1E" w:rsidRDefault="00756D68" w:rsidP="00756D68">
            <w:pPr>
              <w:pStyle w:val="Normal1"/>
              <w:jc w:val="center"/>
              <w:rPr>
                <w:szCs w:val="20"/>
                <w:lang w:val="pl-PL"/>
              </w:rPr>
            </w:pPr>
            <w:r w:rsidRPr="00D50D1E">
              <w:rPr>
                <w:lang w:val="pl-PL"/>
              </w:rPr>
              <w:t>-0.006</w:t>
            </w:r>
          </w:p>
        </w:tc>
        <w:tc>
          <w:tcPr>
            <w:tcW w:w="1149" w:type="dxa"/>
            <w:tcBorders>
              <w:top w:val="dotted" w:sz="4" w:space="0" w:color="auto"/>
              <w:left w:val="dotted" w:sz="4" w:space="0" w:color="auto"/>
              <w:bottom w:val="dotted" w:sz="4" w:space="0" w:color="auto"/>
              <w:right w:val="single" w:sz="4" w:space="0" w:color="000000"/>
            </w:tcBorders>
          </w:tcPr>
          <w:p w14:paraId="75622DD7" w14:textId="77777777" w:rsidR="00756D68" w:rsidRPr="00D50D1E" w:rsidRDefault="00756D68" w:rsidP="00756D68">
            <w:pPr>
              <w:pStyle w:val="Normal1"/>
              <w:jc w:val="center"/>
              <w:rPr>
                <w:szCs w:val="20"/>
                <w:lang w:val="pl-PL"/>
              </w:rPr>
            </w:pPr>
            <w:r w:rsidRPr="00D50D1E">
              <w:rPr>
                <w:lang w:val="pl-PL"/>
              </w:rPr>
              <w:t>-0.038***</w:t>
            </w:r>
          </w:p>
        </w:tc>
      </w:tr>
      <w:tr w:rsidR="00756D68" w14:paraId="3BC8879E" w14:textId="77777777" w:rsidTr="000E7881">
        <w:tc>
          <w:tcPr>
            <w:tcW w:w="726" w:type="dxa"/>
            <w:vMerge/>
            <w:tcBorders>
              <w:right w:val="dotted" w:sz="4" w:space="0" w:color="auto"/>
            </w:tcBorders>
            <w:shd w:val="clear" w:color="auto" w:fill="FFFF00"/>
          </w:tcPr>
          <w:p w14:paraId="65D17BB9"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30846723" w14:textId="77777777" w:rsidR="00756D68" w:rsidRPr="00D50D1E" w:rsidRDefault="00756D68" w:rsidP="00756D68">
            <w:pPr>
              <w:pStyle w:val="Normal1"/>
              <w:rPr>
                <w:szCs w:val="20"/>
                <w:lang w:val="pl-PL"/>
              </w:rPr>
            </w:pPr>
            <w:r w:rsidRPr="00D50D1E">
              <w:rPr>
                <w:szCs w:val="20"/>
                <w:lang w:val="pl-PL"/>
              </w:rPr>
              <w:t>warmińsko-mazurskie</w:t>
            </w:r>
          </w:p>
        </w:tc>
        <w:tc>
          <w:tcPr>
            <w:tcW w:w="1052" w:type="dxa"/>
            <w:gridSpan w:val="2"/>
            <w:tcBorders>
              <w:top w:val="dotted" w:sz="4" w:space="0" w:color="auto"/>
              <w:left w:val="dotted" w:sz="4" w:space="0" w:color="auto"/>
              <w:bottom w:val="dotted" w:sz="4" w:space="0" w:color="auto"/>
              <w:right w:val="dotted" w:sz="4" w:space="0" w:color="auto"/>
            </w:tcBorders>
          </w:tcPr>
          <w:p w14:paraId="62757803" w14:textId="77777777" w:rsidR="00756D68" w:rsidRPr="00D50D1E" w:rsidRDefault="00756D68" w:rsidP="00756D68">
            <w:pPr>
              <w:pStyle w:val="Normal1"/>
              <w:jc w:val="center"/>
              <w:rPr>
                <w:szCs w:val="20"/>
                <w:lang w:val="pl-PL"/>
              </w:rPr>
            </w:pPr>
            <w:r w:rsidRPr="00D50D1E">
              <w:rPr>
                <w:lang w:val="pl-PL"/>
              </w:rPr>
              <w:t>0.014*</w:t>
            </w:r>
          </w:p>
        </w:tc>
        <w:tc>
          <w:tcPr>
            <w:tcW w:w="1028" w:type="dxa"/>
            <w:tcBorders>
              <w:top w:val="dotted" w:sz="4" w:space="0" w:color="auto"/>
              <w:left w:val="dotted" w:sz="4" w:space="0" w:color="auto"/>
              <w:bottom w:val="dotted" w:sz="4" w:space="0" w:color="auto"/>
              <w:right w:val="dotted" w:sz="4" w:space="0" w:color="auto"/>
            </w:tcBorders>
          </w:tcPr>
          <w:p w14:paraId="4F8A042C" w14:textId="77777777" w:rsidR="00756D68" w:rsidRPr="00D50D1E" w:rsidRDefault="00756D68" w:rsidP="00756D68">
            <w:pPr>
              <w:pStyle w:val="Normal1"/>
              <w:jc w:val="center"/>
              <w:rPr>
                <w:szCs w:val="20"/>
                <w:lang w:val="pl-PL"/>
              </w:rPr>
            </w:pPr>
            <w:r w:rsidRPr="00D50D1E">
              <w:rPr>
                <w:lang w:val="pl-PL"/>
              </w:rPr>
              <w:t>0.011***</w:t>
            </w:r>
          </w:p>
        </w:tc>
        <w:tc>
          <w:tcPr>
            <w:tcW w:w="1167" w:type="dxa"/>
            <w:gridSpan w:val="2"/>
            <w:tcBorders>
              <w:top w:val="dotted" w:sz="4" w:space="0" w:color="auto"/>
              <w:left w:val="dotted" w:sz="4" w:space="0" w:color="auto"/>
              <w:bottom w:val="dotted" w:sz="4" w:space="0" w:color="auto"/>
              <w:right w:val="dotted" w:sz="4" w:space="0" w:color="auto"/>
            </w:tcBorders>
          </w:tcPr>
          <w:p w14:paraId="7CCEFA33" w14:textId="77777777" w:rsidR="00756D68" w:rsidRPr="00D50D1E" w:rsidRDefault="00756D68" w:rsidP="00756D68">
            <w:pPr>
              <w:pStyle w:val="Normal1"/>
              <w:jc w:val="center"/>
              <w:rPr>
                <w:szCs w:val="20"/>
                <w:lang w:val="pl-PL"/>
              </w:rPr>
            </w:pPr>
            <w:r w:rsidRPr="00D50D1E">
              <w:rPr>
                <w:lang w:val="pl-PL"/>
              </w:rPr>
              <w:t>0.019</w:t>
            </w:r>
          </w:p>
        </w:tc>
        <w:tc>
          <w:tcPr>
            <w:tcW w:w="1134" w:type="dxa"/>
            <w:gridSpan w:val="2"/>
            <w:tcBorders>
              <w:top w:val="dotted" w:sz="4" w:space="0" w:color="auto"/>
              <w:left w:val="dotted" w:sz="4" w:space="0" w:color="auto"/>
              <w:bottom w:val="dotted" w:sz="4" w:space="0" w:color="auto"/>
              <w:right w:val="dotted" w:sz="4" w:space="0" w:color="auto"/>
            </w:tcBorders>
          </w:tcPr>
          <w:p w14:paraId="2B617E26" w14:textId="77777777" w:rsidR="00756D68" w:rsidRPr="00D50D1E" w:rsidRDefault="00756D68" w:rsidP="00756D68">
            <w:pPr>
              <w:pStyle w:val="Normal1"/>
              <w:jc w:val="center"/>
              <w:rPr>
                <w:szCs w:val="20"/>
                <w:lang w:val="pl-PL"/>
              </w:rPr>
            </w:pPr>
            <w:r w:rsidRPr="00D50D1E">
              <w:rPr>
                <w:lang w:val="pl-PL"/>
              </w:rPr>
              <w:t>-0.016***</w:t>
            </w:r>
          </w:p>
        </w:tc>
        <w:tc>
          <w:tcPr>
            <w:tcW w:w="1149" w:type="dxa"/>
            <w:tcBorders>
              <w:top w:val="dotted" w:sz="4" w:space="0" w:color="auto"/>
              <w:left w:val="dotted" w:sz="4" w:space="0" w:color="auto"/>
              <w:bottom w:val="dotted" w:sz="4" w:space="0" w:color="auto"/>
              <w:right w:val="single" w:sz="4" w:space="0" w:color="000000"/>
            </w:tcBorders>
          </w:tcPr>
          <w:p w14:paraId="563148F3" w14:textId="77777777" w:rsidR="00756D68" w:rsidRPr="00D50D1E" w:rsidRDefault="00756D68" w:rsidP="00756D68">
            <w:pPr>
              <w:pStyle w:val="Normal1"/>
              <w:jc w:val="center"/>
              <w:rPr>
                <w:szCs w:val="20"/>
                <w:lang w:val="pl-PL"/>
              </w:rPr>
            </w:pPr>
            <w:r w:rsidRPr="00D50D1E">
              <w:rPr>
                <w:lang w:val="pl-PL"/>
              </w:rPr>
              <w:t>-0.019***</w:t>
            </w:r>
          </w:p>
        </w:tc>
      </w:tr>
      <w:tr w:rsidR="00756D68" w14:paraId="3631ECFC" w14:textId="77777777" w:rsidTr="000E7881">
        <w:tc>
          <w:tcPr>
            <w:tcW w:w="726" w:type="dxa"/>
            <w:vMerge/>
            <w:tcBorders>
              <w:right w:val="dotted" w:sz="4" w:space="0" w:color="auto"/>
            </w:tcBorders>
            <w:shd w:val="clear" w:color="auto" w:fill="FFFF00"/>
          </w:tcPr>
          <w:p w14:paraId="17077D1C"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1557644E" w14:textId="77777777" w:rsidR="00756D68" w:rsidRPr="00D50D1E" w:rsidRDefault="00756D68" w:rsidP="00756D68">
            <w:pPr>
              <w:pStyle w:val="Normal1"/>
              <w:rPr>
                <w:szCs w:val="20"/>
                <w:lang w:val="pl-PL"/>
              </w:rPr>
            </w:pPr>
            <w:r w:rsidRPr="00D50D1E">
              <w:rPr>
                <w:szCs w:val="20"/>
                <w:lang w:val="pl-PL"/>
              </w:rPr>
              <w:t>wielkopolskie</w:t>
            </w:r>
          </w:p>
        </w:tc>
        <w:tc>
          <w:tcPr>
            <w:tcW w:w="1052" w:type="dxa"/>
            <w:gridSpan w:val="2"/>
            <w:tcBorders>
              <w:top w:val="dotted" w:sz="4" w:space="0" w:color="auto"/>
              <w:left w:val="dotted" w:sz="4" w:space="0" w:color="auto"/>
              <w:bottom w:val="dotted" w:sz="4" w:space="0" w:color="auto"/>
              <w:right w:val="dotted" w:sz="4" w:space="0" w:color="auto"/>
            </w:tcBorders>
          </w:tcPr>
          <w:p w14:paraId="54AFC29A" w14:textId="77777777" w:rsidR="00756D68" w:rsidRPr="00D50D1E" w:rsidRDefault="00756D68" w:rsidP="00756D68">
            <w:pPr>
              <w:pStyle w:val="Normal1"/>
              <w:jc w:val="center"/>
              <w:rPr>
                <w:szCs w:val="20"/>
                <w:lang w:val="pl-PL"/>
              </w:rPr>
            </w:pPr>
            <w:r w:rsidRPr="00D50D1E">
              <w:rPr>
                <w:lang w:val="pl-PL"/>
              </w:rPr>
              <w:t>-0.001</w:t>
            </w:r>
          </w:p>
        </w:tc>
        <w:tc>
          <w:tcPr>
            <w:tcW w:w="1028" w:type="dxa"/>
            <w:tcBorders>
              <w:top w:val="dotted" w:sz="4" w:space="0" w:color="auto"/>
              <w:left w:val="dotted" w:sz="4" w:space="0" w:color="auto"/>
              <w:bottom w:val="dotted" w:sz="4" w:space="0" w:color="auto"/>
              <w:right w:val="dotted" w:sz="4" w:space="0" w:color="auto"/>
            </w:tcBorders>
          </w:tcPr>
          <w:p w14:paraId="75C9659C" w14:textId="77777777" w:rsidR="00756D68" w:rsidRPr="00D50D1E" w:rsidRDefault="00756D68" w:rsidP="00756D68">
            <w:pPr>
              <w:pStyle w:val="Normal1"/>
              <w:jc w:val="center"/>
              <w:rPr>
                <w:szCs w:val="20"/>
                <w:lang w:val="pl-PL"/>
              </w:rPr>
            </w:pPr>
            <w:r w:rsidRPr="00D50D1E">
              <w:rPr>
                <w:lang w:val="pl-PL"/>
              </w:rPr>
              <w:t>-0.001</w:t>
            </w:r>
          </w:p>
        </w:tc>
        <w:tc>
          <w:tcPr>
            <w:tcW w:w="1167" w:type="dxa"/>
            <w:gridSpan w:val="2"/>
            <w:tcBorders>
              <w:top w:val="dotted" w:sz="4" w:space="0" w:color="auto"/>
              <w:left w:val="dotted" w:sz="4" w:space="0" w:color="auto"/>
              <w:bottom w:val="dotted" w:sz="4" w:space="0" w:color="auto"/>
              <w:right w:val="dotted" w:sz="4" w:space="0" w:color="auto"/>
            </w:tcBorders>
          </w:tcPr>
          <w:p w14:paraId="4A4BFF71" w14:textId="77777777" w:rsidR="00756D68" w:rsidRPr="00D50D1E" w:rsidRDefault="00756D68" w:rsidP="00756D68">
            <w:pPr>
              <w:pStyle w:val="Normal1"/>
              <w:jc w:val="center"/>
              <w:rPr>
                <w:szCs w:val="20"/>
                <w:lang w:val="pl-PL"/>
              </w:rPr>
            </w:pPr>
            <w:r w:rsidRPr="00D50D1E">
              <w:rPr>
                <w:lang w:val="pl-PL"/>
              </w:rPr>
              <w:t>0.028***</w:t>
            </w:r>
          </w:p>
        </w:tc>
        <w:tc>
          <w:tcPr>
            <w:tcW w:w="1134" w:type="dxa"/>
            <w:gridSpan w:val="2"/>
            <w:tcBorders>
              <w:top w:val="dotted" w:sz="4" w:space="0" w:color="auto"/>
              <w:left w:val="dotted" w:sz="4" w:space="0" w:color="auto"/>
              <w:bottom w:val="dotted" w:sz="4" w:space="0" w:color="auto"/>
              <w:right w:val="dotted" w:sz="4" w:space="0" w:color="auto"/>
            </w:tcBorders>
          </w:tcPr>
          <w:p w14:paraId="60936FEF" w14:textId="77777777" w:rsidR="00756D68" w:rsidRPr="00D50D1E" w:rsidRDefault="00756D68" w:rsidP="00756D68">
            <w:pPr>
              <w:pStyle w:val="Normal1"/>
              <w:jc w:val="center"/>
              <w:rPr>
                <w:szCs w:val="20"/>
                <w:lang w:val="pl-PL"/>
              </w:rPr>
            </w:pPr>
            <w:r w:rsidRPr="00D50D1E">
              <w:rPr>
                <w:lang w:val="pl-PL"/>
              </w:rPr>
              <w:t>0.001</w:t>
            </w:r>
          </w:p>
        </w:tc>
        <w:tc>
          <w:tcPr>
            <w:tcW w:w="1149" w:type="dxa"/>
            <w:tcBorders>
              <w:top w:val="dotted" w:sz="4" w:space="0" w:color="auto"/>
              <w:left w:val="dotted" w:sz="4" w:space="0" w:color="auto"/>
              <w:bottom w:val="dotted" w:sz="4" w:space="0" w:color="auto"/>
              <w:right w:val="single" w:sz="4" w:space="0" w:color="000000"/>
            </w:tcBorders>
          </w:tcPr>
          <w:p w14:paraId="133A1485" w14:textId="77777777" w:rsidR="00756D68" w:rsidRPr="00D50D1E" w:rsidRDefault="00756D68" w:rsidP="00756D68">
            <w:pPr>
              <w:pStyle w:val="Normal1"/>
              <w:jc w:val="center"/>
              <w:rPr>
                <w:szCs w:val="20"/>
                <w:lang w:val="pl-PL"/>
              </w:rPr>
            </w:pPr>
            <w:r w:rsidRPr="00D50D1E">
              <w:rPr>
                <w:lang w:val="pl-PL"/>
              </w:rPr>
              <w:t>-0.040***</w:t>
            </w:r>
          </w:p>
        </w:tc>
      </w:tr>
      <w:tr w:rsidR="00756D68" w14:paraId="38B8BDAF" w14:textId="77777777" w:rsidTr="000E7881">
        <w:tc>
          <w:tcPr>
            <w:tcW w:w="726" w:type="dxa"/>
            <w:vMerge/>
            <w:tcBorders>
              <w:right w:val="dotted" w:sz="4" w:space="0" w:color="auto"/>
            </w:tcBorders>
            <w:shd w:val="clear" w:color="auto" w:fill="FFFF00"/>
          </w:tcPr>
          <w:p w14:paraId="345D6201" w14:textId="77777777" w:rsidR="00756D68" w:rsidRPr="00FD1BFF" w:rsidRDefault="00756D68" w:rsidP="00756D68">
            <w:pPr>
              <w:pStyle w:val="Normal1"/>
              <w:rPr>
                <w:szCs w:val="20"/>
              </w:rPr>
            </w:pPr>
          </w:p>
        </w:tc>
        <w:tc>
          <w:tcPr>
            <w:tcW w:w="2543" w:type="dxa"/>
            <w:gridSpan w:val="3"/>
            <w:tcBorders>
              <w:top w:val="dotted" w:sz="4" w:space="0" w:color="auto"/>
              <w:left w:val="dotted" w:sz="4" w:space="0" w:color="auto"/>
              <w:bottom w:val="dotted" w:sz="4" w:space="0" w:color="auto"/>
              <w:right w:val="dotted" w:sz="4" w:space="0" w:color="auto"/>
            </w:tcBorders>
            <w:vAlign w:val="bottom"/>
          </w:tcPr>
          <w:p w14:paraId="7D858DC3" w14:textId="77777777" w:rsidR="00756D68" w:rsidRPr="00D50D1E" w:rsidRDefault="00756D68" w:rsidP="00756D68">
            <w:pPr>
              <w:pStyle w:val="Normal1"/>
              <w:rPr>
                <w:szCs w:val="20"/>
                <w:lang w:val="pl-PL"/>
              </w:rPr>
            </w:pPr>
            <w:r w:rsidRPr="00D50D1E">
              <w:rPr>
                <w:szCs w:val="20"/>
                <w:lang w:val="pl-PL"/>
              </w:rPr>
              <w:t>zachodniopomorskie</w:t>
            </w:r>
          </w:p>
        </w:tc>
        <w:tc>
          <w:tcPr>
            <w:tcW w:w="1052" w:type="dxa"/>
            <w:gridSpan w:val="2"/>
            <w:tcBorders>
              <w:top w:val="dotted" w:sz="4" w:space="0" w:color="auto"/>
              <w:left w:val="dotted" w:sz="4" w:space="0" w:color="auto"/>
              <w:bottom w:val="dotted" w:sz="4" w:space="0" w:color="auto"/>
              <w:right w:val="dotted" w:sz="4" w:space="0" w:color="auto"/>
            </w:tcBorders>
          </w:tcPr>
          <w:p w14:paraId="079C6409" w14:textId="77777777" w:rsidR="00756D68" w:rsidRPr="00D50D1E" w:rsidRDefault="00756D68" w:rsidP="00756D68">
            <w:pPr>
              <w:pStyle w:val="Normal1"/>
              <w:jc w:val="center"/>
              <w:rPr>
                <w:szCs w:val="20"/>
                <w:lang w:val="pl-PL"/>
              </w:rPr>
            </w:pPr>
            <w:r w:rsidRPr="00D50D1E">
              <w:rPr>
                <w:lang w:val="pl-PL"/>
              </w:rPr>
              <w:t>0.016**</w:t>
            </w:r>
          </w:p>
        </w:tc>
        <w:tc>
          <w:tcPr>
            <w:tcW w:w="1028" w:type="dxa"/>
            <w:tcBorders>
              <w:top w:val="dotted" w:sz="4" w:space="0" w:color="auto"/>
              <w:left w:val="dotted" w:sz="4" w:space="0" w:color="auto"/>
              <w:bottom w:val="dotted" w:sz="4" w:space="0" w:color="auto"/>
              <w:right w:val="dotted" w:sz="4" w:space="0" w:color="auto"/>
            </w:tcBorders>
          </w:tcPr>
          <w:p w14:paraId="15B659DB" w14:textId="77777777" w:rsidR="00756D68" w:rsidRPr="00D50D1E" w:rsidRDefault="00756D68" w:rsidP="00756D68">
            <w:pPr>
              <w:pStyle w:val="Normal1"/>
              <w:jc w:val="center"/>
              <w:rPr>
                <w:szCs w:val="20"/>
                <w:lang w:val="pl-PL"/>
              </w:rPr>
            </w:pPr>
            <w:r w:rsidRPr="00D50D1E">
              <w:rPr>
                <w:lang w:val="pl-PL"/>
              </w:rPr>
              <w:t>0.012***</w:t>
            </w:r>
          </w:p>
        </w:tc>
        <w:tc>
          <w:tcPr>
            <w:tcW w:w="1167" w:type="dxa"/>
            <w:gridSpan w:val="2"/>
            <w:tcBorders>
              <w:top w:val="dotted" w:sz="4" w:space="0" w:color="auto"/>
              <w:left w:val="dotted" w:sz="4" w:space="0" w:color="auto"/>
              <w:bottom w:val="dotted" w:sz="4" w:space="0" w:color="auto"/>
              <w:right w:val="dotted" w:sz="4" w:space="0" w:color="auto"/>
            </w:tcBorders>
          </w:tcPr>
          <w:p w14:paraId="0FA1DCF6" w14:textId="77777777" w:rsidR="00756D68" w:rsidRPr="00D50D1E" w:rsidRDefault="00756D68" w:rsidP="00756D68">
            <w:pPr>
              <w:pStyle w:val="Normal1"/>
              <w:jc w:val="center"/>
              <w:rPr>
                <w:szCs w:val="20"/>
                <w:lang w:val="pl-PL"/>
              </w:rPr>
            </w:pPr>
            <w:r w:rsidRPr="00D50D1E">
              <w:rPr>
                <w:lang w:val="pl-PL"/>
              </w:rPr>
              <w:t>0.037***</w:t>
            </w:r>
          </w:p>
        </w:tc>
        <w:tc>
          <w:tcPr>
            <w:tcW w:w="1134" w:type="dxa"/>
            <w:gridSpan w:val="2"/>
            <w:tcBorders>
              <w:top w:val="dotted" w:sz="4" w:space="0" w:color="auto"/>
              <w:left w:val="dotted" w:sz="4" w:space="0" w:color="auto"/>
              <w:bottom w:val="dotted" w:sz="4" w:space="0" w:color="auto"/>
              <w:right w:val="dotted" w:sz="4" w:space="0" w:color="auto"/>
            </w:tcBorders>
          </w:tcPr>
          <w:p w14:paraId="4FA677E6" w14:textId="77777777" w:rsidR="00756D68" w:rsidRPr="00D50D1E" w:rsidRDefault="00756D68" w:rsidP="00756D68">
            <w:pPr>
              <w:pStyle w:val="Normal1"/>
              <w:jc w:val="center"/>
              <w:rPr>
                <w:szCs w:val="20"/>
                <w:lang w:val="pl-PL"/>
              </w:rPr>
            </w:pPr>
            <w:r w:rsidRPr="00D50D1E">
              <w:rPr>
                <w:lang w:val="pl-PL"/>
              </w:rPr>
              <w:t>-0.008</w:t>
            </w:r>
          </w:p>
        </w:tc>
        <w:tc>
          <w:tcPr>
            <w:tcW w:w="1149" w:type="dxa"/>
            <w:tcBorders>
              <w:top w:val="dotted" w:sz="4" w:space="0" w:color="auto"/>
              <w:left w:val="dotted" w:sz="4" w:space="0" w:color="auto"/>
              <w:bottom w:val="dotted" w:sz="4" w:space="0" w:color="auto"/>
              <w:right w:val="single" w:sz="4" w:space="0" w:color="000000"/>
            </w:tcBorders>
          </w:tcPr>
          <w:p w14:paraId="405284AD" w14:textId="77777777" w:rsidR="00756D68" w:rsidRPr="00D50D1E" w:rsidRDefault="00756D68" w:rsidP="00756D68">
            <w:pPr>
              <w:pStyle w:val="Normal1"/>
              <w:jc w:val="center"/>
              <w:rPr>
                <w:szCs w:val="20"/>
                <w:lang w:val="pl-PL"/>
              </w:rPr>
            </w:pPr>
            <w:r w:rsidRPr="00D50D1E">
              <w:rPr>
                <w:lang w:val="pl-PL"/>
              </w:rPr>
              <w:t>-0.009</w:t>
            </w:r>
          </w:p>
        </w:tc>
      </w:tr>
      <w:tr w:rsidR="00756D68" w14:paraId="452C9295" w14:textId="77777777" w:rsidTr="000E7881">
        <w:trPr>
          <w:trHeight w:val="346"/>
        </w:trPr>
        <w:tc>
          <w:tcPr>
            <w:tcW w:w="3269" w:type="dxa"/>
            <w:gridSpan w:val="4"/>
            <w:tcBorders>
              <w:top w:val="single" w:sz="12" w:space="0" w:color="auto"/>
            </w:tcBorders>
            <w:shd w:val="clear" w:color="auto" w:fill="FFFF00"/>
          </w:tcPr>
          <w:p w14:paraId="2251BE70" w14:textId="395FF6E6" w:rsidR="00756D68" w:rsidRPr="00D50D1E" w:rsidRDefault="00D50D1E" w:rsidP="00756D68">
            <w:pPr>
              <w:pStyle w:val="Normal1"/>
              <w:rPr>
                <w:b/>
                <w:szCs w:val="20"/>
                <w:lang w:val="pl-PL"/>
              </w:rPr>
            </w:pPr>
            <w:r w:rsidRPr="00D50D1E">
              <w:rPr>
                <w:b/>
                <w:szCs w:val="20"/>
                <w:lang w:val="pl-PL"/>
              </w:rPr>
              <w:t>Liczba obserwacji</w:t>
            </w:r>
          </w:p>
        </w:tc>
        <w:tc>
          <w:tcPr>
            <w:tcW w:w="1052" w:type="dxa"/>
            <w:gridSpan w:val="2"/>
            <w:tcBorders>
              <w:top w:val="single" w:sz="12" w:space="0" w:color="auto"/>
            </w:tcBorders>
          </w:tcPr>
          <w:p w14:paraId="35039CB0" w14:textId="77777777" w:rsidR="00756D68" w:rsidRPr="00AD3D8C" w:rsidRDefault="00756D68" w:rsidP="00756D68">
            <w:pPr>
              <w:pStyle w:val="Normal1"/>
              <w:jc w:val="center"/>
              <w:rPr>
                <w:szCs w:val="20"/>
              </w:rPr>
            </w:pPr>
            <w:r w:rsidRPr="00AD3D8C">
              <w:rPr>
                <w:szCs w:val="20"/>
              </w:rPr>
              <w:t>35 213</w:t>
            </w:r>
          </w:p>
        </w:tc>
        <w:tc>
          <w:tcPr>
            <w:tcW w:w="1028" w:type="dxa"/>
            <w:tcBorders>
              <w:top w:val="single" w:sz="12" w:space="0" w:color="auto"/>
            </w:tcBorders>
          </w:tcPr>
          <w:p w14:paraId="669EE925" w14:textId="77777777" w:rsidR="00756D68" w:rsidRPr="00AD3D8C" w:rsidRDefault="00756D68" w:rsidP="00756D68">
            <w:pPr>
              <w:pStyle w:val="Normal1"/>
              <w:jc w:val="center"/>
              <w:rPr>
                <w:szCs w:val="20"/>
              </w:rPr>
            </w:pPr>
            <w:r w:rsidRPr="00AD3D8C">
              <w:rPr>
                <w:szCs w:val="20"/>
              </w:rPr>
              <w:t>35 213</w:t>
            </w:r>
          </w:p>
        </w:tc>
        <w:tc>
          <w:tcPr>
            <w:tcW w:w="1167" w:type="dxa"/>
            <w:gridSpan w:val="2"/>
            <w:tcBorders>
              <w:top w:val="single" w:sz="12" w:space="0" w:color="auto"/>
            </w:tcBorders>
          </w:tcPr>
          <w:p w14:paraId="79632F24" w14:textId="77777777" w:rsidR="00756D68" w:rsidRPr="00AD3D8C" w:rsidRDefault="00756D68" w:rsidP="00756D68">
            <w:pPr>
              <w:pStyle w:val="Normal1"/>
              <w:jc w:val="center"/>
              <w:rPr>
                <w:szCs w:val="20"/>
              </w:rPr>
            </w:pPr>
            <w:r w:rsidRPr="00AD3D8C">
              <w:rPr>
                <w:szCs w:val="20"/>
              </w:rPr>
              <w:t>35 213</w:t>
            </w:r>
          </w:p>
        </w:tc>
        <w:tc>
          <w:tcPr>
            <w:tcW w:w="1134" w:type="dxa"/>
            <w:gridSpan w:val="2"/>
            <w:tcBorders>
              <w:top w:val="single" w:sz="12" w:space="0" w:color="auto"/>
            </w:tcBorders>
          </w:tcPr>
          <w:p w14:paraId="6D147E33" w14:textId="77777777" w:rsidR="00756D68" w:rsidRPr="00AD3D8C" w:rsidRDefault="00756D68" w:rsidP="00756D68">
            <w:pPr>
              <w:pStyle w:val="Normal1"/>
              <w:jc w:val="center"/>
              <w:rPr>
                <w:szCs w:val="20"/>
              </w:rPr>
            </w:pPr>
            <w:r w:rsidRPr="00AD3D8C">
              <w:rPr>
                <w:szCs w:val="20"/>
              </w:rPr>
              <w:t>35 213</w:t>
            </w:r>
          </w:p>
        </w:tc>
        <w:tc>
          <w:tcPr>
            <w:tcW w:w="1149" w:type="dxa"/>
            <w:tcBorders>
              <w:top w:val="single" w:sz="12" w:space="0" w:color="auto"/>
            </w:tcBorders>
          </w:tcPr>
          <w:p w14:paraId="463A49C3" w14:textId="77777777" w:rsidR="00756D68" w:rsidRPr="00AD3D8C" w:rsidRDefault="00756D68" w:rsidP="00756D68">
            <w:pPr>
              <w:pStyle w:val="Normal1"/>
              <w:jc w:val="center"/>
              <w:rPr>
                <w:szCs w:val="20"/>
              </w:rPr>
            </w:pPr>
            <w:r w:rsidRPr="00AD3D8C">
              <w:rPr>
                <w:szCs w:val="20"/>
              </w:rPr>
              <w:t>35 213</w:t>
            </w:r>
          </w:p>
        </w:tc>
      </w:tr>
    </w:tbl>
    <w:p w14:paraId="1066E807" w14:textId="77777777" w:rsidR="00D50D1E" w:rsidRPr="00D50D1E" w:rsidRDefault="00257EAE" w:rsidP="00011E14">
      <w:pPr>
        <w:pStyle w:val="Normal1"/>
        <w:rPr>
          <w:i/>
        </w:rPr>
      </w:pPr>
      <w:r w:rsidRPr="00D50D1E">
        <w:rPr>
          <w:i/>
        </w:rPr>
        <w:t>Uwaga</w:t>
      </w:r>
      <w:r w:rsidR="00756D68" w:rsidRPr="00D50D1E">
        <w:rPr>
          <w:i/>
        </w:rPr>
        <w:t xml:space="preserve">: </w:t>
      </w:r>
      <w:r w:rsidRPr="00D50D1E">
        <w:rPr>
          <w:i/>
        </w:rPr>
        <w:t>poziomy istotności</w:t>
      </w:r>
      <w:r w:rsidR="00756D68" w:rsidRPr="00D50D1E">
        <w:rPr>
          <w:i/>
        </w:rPr>
        <w:t xml:space="preserve">: *** 0.01, **0.05, * 0.1. </w:t>
      </w:r>
      <w:r w:rsidR="00961B46" w:rsidRPr="00D50D1E">
        <w:rPr>
          <w:i/>
        </w:rPr>
        <w:t>Odporne błędy standardowe</w:t>
      </w:r>
      <w:r w:rsidR="00756D68" w:rsidRPr="00D50D1E">
        <w:rPr>
          <w:i/>
        </w:rPr>
        <w:t>.</w:t>
      </w:r>
      <w:r w:rsidR="00D50D1E" w:rsidRPr="00D50D1E">
        <w:rPr>
          <w:i/>
        </w:rPr>
        <w:t xml:space="preserve"> </w:t>
      </w:r>
    </w:p>
    <w:p w14:paraId="27676D7A" w14:textId="56E00937" w:rsidR="00756D68" w:rsidRPr="00961B46" w:rsidRDefault="00D50D1E" w:rsidP="00011E14">
      <w:pPr>
        <w:pStyle w:val="Normal1"/>
      </w:pPr>
      <w:r w:rsidRPr="00D50D1E">
        <w:rPr>
          <w:i/>
        </w:rPr>
        <w:t>REF: punkt odniesienia.</w:t>
      </w:r>
    </w:p>
    <w:p w14:paraId="6CF0D7EB" w14:textId="6BB005C1" w:rsidR="00641CD2" w:rsidRPr="00A558AE" w:rsidRDefault="00A558AE" w:rsidP="00C7122A">
      <w:pPr>
        <w:pStyle w:val="Nagwek2"/>
        <w:numPr>
          <w:ilvl w:val="1"/>
          <w:numId w:val="43"/>
        </w:numPr>
      </w:pPr>
      <w:bookmarkStart w:id="29" w:name="_Toc528189742"/>
      <w:bookmarkStart w:id="30" w:name="_Toc522031980"/>
      <w:r w:rsidRPr="00A558AE">
        <w:t>Charakterystyka sektora energetycznego w Polsce</w:t>
      </w:r>
      <w:bookmarkEnd w:id="29"/>
    </w:p>
    <w:p w14:paraId="6C2991AB" w14:textId="7911B6C9" w:rsidR="00A27E4F" w:rsidRPr="00A27E4F" w:rsidRDefault="00A27E4F" w:rsidP="00A27E4F">
      <w:pPr>
        <w:pStyle w:val="Normal1"/>
      </w:pPr>
      <w:r w:rsidRPr="00A27E4F">
        <w:t>Wysoki udział</w:t>
      </w:r>
      <w:r w:rsidR="002A1D27">
        <w:t xml:space="preserve"> wykorzystania</w:t>
      </w:r>
      <w:r w:rsidRPr="00A27E4F">
        <w:t xml:space="preserve"> biomasy jako paliwa grzewczego, rosnące ceny energii elektrycznej i emisja zanieczyszczeń z </w:t>
      </w:r>
      <w:r w:rsidR="00EC6794">
        <w:t xml:space="preserve">domowych </w:t>
      </w:r>
      <w:r w:rsidRPr="00A27E4F">
        <w:t>systemów ogrzewania</w:t>
      </w:r>
      <w:r w:rsidR="000E7881">
        <w:t>,</w:t>
      </w:r>
      <w:r w:rsidRPr="00A27E4F">
        <w:t xml:space="preserve"> to trzy główne cechy polskiego sektora energetycznego związane z ubóstwem energetycznym. </w:t>
      </w:r>
      <w:r w:rsidR="00EC6794">
        <w:t xml:space="preserve">W niniejszym rozdziale </w:t>
      </w:r>
      <w:r w:rsidRPr="00A27E4F">
        <w:t>opis</w:t>
      </w:r>
      <w:r w:rsidR="00EC6794">
        <w:t>ujemy</w:t>
      </w:r>
      <w:r w:rsidRPr="00A27E4F">
        <w:t xml:space="preserve"> każd</w:t>
      </w:r>
      <w:r w:rsidR="00EC6794">
        <w:t>ą</w:t>
      </w:r>
      <w:r w:rsidRPr="00A27E4F">
        <w:t xml:space="preserve"> z </w:t>
      </w:r>
      <w:r w:rsidR="000E7881">
        <w:t xml:space="preserve">tych </w:t>
      </w:r>
      <w:r w:rsidRPr="00A27E4F">
        <w:t>cech.</w:t>
      </w:r>
    </w:p>
    <w:p w14:paraId="11C63EA4" w14:textId="2735F973" w:rsidR="00A27E4F" w:rsidRPr="00A27E4F" w:rsidRDefault="00A27E4F" w:rsidP="00A27E4F">
      <w:pPr>
        <w:pStyle w:val="Normal1"/>
      </w:pPr>
      <w:r w:rsidRPr="00A27E4F">
        <w:t xml:space="preserve">72% </w:t>
      </w:r>
      <w:r w:rsidR="00EC6794">
        <w:t xml:space="preserve">ubogich energetycznie gospodarstw domowych wykorzystuje węgiel jako główne źródło ciepła, </w:t>
      </w:r>
      <w:r w:rsidRPr="00A27E4F">
        <w:t xml:space="preserve">19% </w:t>
      </w:r>
      <w:r w:rsidR="000E7881">
        <w:t xml:space="preserve">używa </w:t>
      </w:r>
      <w:r w:rsidRPr="00A27E4F">
        <w:t>drewn</w:t>
      </w:r>
      <w:r w:rsidR="000E7881">
        <w:t>a</w:t>
      </w:r>
      <w:r w:rsidRPr="00A27E4F">
        <w:t xml:space="preserve"> i tylko 4,5% ga</w:t>
      </w:r>
      <w:r w:rsidR="00EC6794">
        <w:t>z</w:t>
      </w:r>
      <w:r w:rsidR="000E7881">
        <w:t>u</w:t>
      </w:r>
      <w:r w:rsidRPr="00A27E4F">
        <w:t xml:space="preserve"> (Lewandowski </w:t>
      </w:r>
      <w:r w:rsidR="00EC6794">
        <w:t>et al</w:t>
      </w:r>
      <w:r w:rsidRPr="00A27E4F">
        <w:t xml:space="preserve">., 2018). </w:t>
      </w:r>
      <w:r w:rsidR="00EC6794">
        <w:t>Związek</w:t>
      </w:r>
      <w:r w:rsidRPr="00A27E4F">
        <w:t xml:space="preserve"> pomiędzy wysokim udziałem wykorzystania biomasy</w:t>
      </w:r>
      <w:r w:rsidR="00EC6794">
        <w:t>,</w:t>
      </w:r>
      <w:r w:rsidRPr="00A27E4F">
        <w:t xml:space="preserve"> a możliwością</w:t>
      </w:r>
      <w:r w:rsidR="00EC6794">
        <w:t xml:space="preserve"> jego pozyskania po niskiej</w:t>
      </w:r>
      <w:r w:rsidRPr="00A27E4F">
        <w:t xml:space="preserve"> </w:t>
      </w:r>
      <w:r w:rsidR="00EC6794">
        <w:t>cenie</w:t>
      </w:r>
      <w:r w:rsidRPr="00A27E4F">
        <w:t xml:space="preserve"> (lub </w:t>
      </w:r>
      <w:r w:rsidR="00EC6794">
        <w:t>bezpłatnie</w:t>
      </w:r>
      <w:r w:rsidRPr="00A27E4F">
        <w:t xml:space="preserve">) może </w:t>
      </w:r>
      <w:r w:rsidR="00EC6794">
        <w:t xml:space="preserve">znacząco </w:t>
      </w:r>
      <w:r w:rsidRPr="00A27E4F">
        <w:t>zmniejszyć wydatki energetyczne gospodarstw</w:t>
      </w:r>
      <w:r w:rsidR="00EC6794">
        <w:t>a</w:t>
      </w:r>
      <w:r w:rsidRPr="00A27E4F">
        <w:t xml:space="preserve"> domow</w:t>
      </w:r>
      <w:r w:rsidR="00EC6794">
        <w:t>ego</w:t>
      </w:r>
      <w:r w:rsidRPr="00A27E4F">
        <w:t xml:space="preserve"> i skomplikować proces identyfikacji </w:t>
      </w:r>
      <w:r w:rsidR="00EC6794">
        <w:t>ubóstwa energetycznego</w:t>
      </w:r>
      <w:r w:rsidRPr="00A27E4F">
        <w:t>. Dlatego</w:t>
      </w:r>
      <w:r w:rsidR="00EC6794">
        <w:t>,</w:t>
      </w:r>
      <w:r w:rsidRPr="00A27E4F">
        <w:t xml:space="preserve"> </w:t>
      </w:r>
      <w:r w:rsidR="00EC6794">
        <w:t>w analizie ubóstwa energetycznego w Polsce, wykorzystujemy</w:t>
      </w:r>
      <w:r w:rsidRPr="00A27E4F">
        <w:t xml:space="preserve"> </w:t>
      </w:r>
      <w:r w:rsidR="00EC6794">
        <w:t>zarówno</w:t>
      </w:r>
      <w:r w:rsidRPr="00A27E4F">
        <w:t xml:space="preserve"> wskaźniki oparte na wymaganych i faktycznych wydatkach energetycznych.</w:t>
      </w:r>
    </w:p>
    <w:p w14:paraId="62D33493" w14:textId="20A032A9" w:rsidR="00A27E4F" w:rsidRPr="00A27E4F" w:rsidRDefault="00A27E4F" w:rsidP="00A27E4F">
      <w:pPr>
        <w:pStyle w:val="Normal1"/>
      </w:pPr>
      <w:r w:rsidRPr="00A27E4F">
        <w:t xml:space="preserve">Paliwa kopalne </w:t>
      </w:r>
      <w:r w:rsidR="000E7881">
        <w:t>mają</w:t>
      </w:r>
      <w:r w:rsidRPr="00A27E4F">
        <w:t xml:space="preserve"> </w:t>
      </w:r>
      <w:r w:rsidR="000E7881">
        <w:t>fundamentalne znaczenie dla</w:t>
      </w:r>
      <w:r w:rsidRPr="00A27E4F">
        <w:t xml:space="preserve"> polskiego systemu energetycznego. Emisje gazów cieplarnianych </w:t>
      </w:r>
      <w:r w:rsidR="0014569C">
        <w:t>w przeliczeniu na</w:t>
      </w:r>
      <w:r w:rsidRPr="00A27E4F">
        <w:t xml:space="preserve"> produkt krajowy brutto </w:t>
      </w:r>
      <w:r w:rsidR="0014569C">
        <w:t>oraz</w:t>
      </w:r>
      <w:r w:rsidRPr="00A27E4F">
        <w:t xml:space="preserve"> intensywność emisji dwutlenku węgla w Polsce należą do najwyższych w Europie. </w:t>
      </w:r>
      <w:r w:rsidR="0014569C">
        <w:t>Dodatkowo, z</w:t>
      </w:r>
      <w:r w:rsidRPr="00A27E4F">
        <w:t xml:space="preserve">anieczyszczenie </w:t>
      </w:r>
      <w:r w:rsidR="0014569C">
        <w:t>powietrza jest poważnym zagrożeniem</w:t>
      </w:r>
      <w:r w:rsidRPr="00A27E4F">
        <w:t xml:space="preserve"> dla środowiska </w:t>
      </w:r>
      <w:r w:rsidR="0014569C">
        <w:t>naturalnego</w:t>
      </w:r>
      <w:r w:rsidRPr="00A27E4F">
        <w:t xml:space="preserve">, a ogrzewanie w gospodarstwach domowych jest </w:t>
      </w:r>
      <w:r w:rsidR="0014569C">
        <w:t xml:space="preserve">jednym z </w:t>
      </w:r>
      <w:r w:rsidRPr="00A27E4F">
        <w:t>główny</w:t>
      </w:r>
      <w:r w:rsidR="0014569C">
        <w:t>ch</w:t>
      </w:r>
      <w:r w:rsidRPr="00A27E4F">
        <w:t xml:space="preserve"> źród</w:t>
      </w:r>
      <w:r w:rsidR="0014569C">
        <w:t>eł</w:t>
      </w:r>
      <w:r w:rsidRPr="00A27E4F">
        <w:t xml:space="preserve"> lokalnego zanieczyszczenia powietrza (IEA, 2017). </w:t>
      </w:r>
      <w:r w:rsidR="0014569C">
        <w:t>Wynika to głównie z wykorzystania przestarzałych i nieefektywnych źródeł ciepła. Zestawienie ubóstwa</w:t>
      </w:r>
      <w:r w:rsidRPr="00A27E4F">
        <w:t xml:space="preserve"> energetyczne</w:t>
      </w:r>
      <w:r w:rsidR="0014569C">
        <w:t>go</w:t>
      </w:r>
      <w:r w:rsidR="000E7881">
        <w:t xml:space="preserve"> z zanieczyszczeniem powietrza</w:t>
      </w:r>
      <w:r w:rsidR="0014569C">
        <w:t xml:space="preserve"> jest możliwe dzięki </w:t>
      </w:r>
      <w:r w:rsidRPr="00A27E4F">
        <w:t>analiz</w:t>
      </w:r>
      <w:r w:rsidR="0014569C">
        <w:t>ie wskaźników</w:t>
      </w:r>
      <w:r w:rsidRPr="00A27E4F">
        <w:t xml:space="preserve"> zgodnie z </w:t>
      </w:r>
      <w:r w:rsidR="0014569C">
        <w:t xml:space="preserve">podziałem na </w:t>
      </w:r>
      <w:r w:rsidRPr="00A27E4F">
        <w:t>główn</w:t>
      </w:r>
      <w:r w:rsidR="0014569C">
        <w:t>e</w:t>
      </w:r>
      <w:r w:rsidRPr="00A27E4F">
        <w:t xml:space="preserve"> </w:t>
      </w:r>
      <w:r w:rsidR="0014569C">
        <w:t xml:space="preserve">źródła </w:t>
      </w:r>
      <w:r w:rsidR="000E7881">
        <w:t>ciepła</w:t>
      </w:r>
      <w:r w:rsidRPr="00A27E4F">
        <w:t xml:space="preserve"> (</w:t>
      </w:r>
      <w:r w:rsidR="0014569C">
        <w:t>wykres</w:t>
      </w:r>
      <w:r w:rsidRPr="00A27E4F">
        <w:t xml:space="preserve"> </w:t>
      </w:r>
      <w:r w:rsidR="000E7881">
        <w:t>9</w:t>
      </w:r>
      <w:r w:rsidRPr="00A27E4F">
        <w:t xml:space="preserve">). </w:t>
      </w:r>
      <w:r w:rsidR="00E3544E">
        <w:t>Udział ubogich energetycznie gospodarstw domowych wykorzystujących węgiel i drewno jest najwyższy zgodnie z każdym ze wskaźników. M</w:t>
      </w:r>
      <w:r w:rsidRPr="00A27E4F">
        <w:t>oże</w:t>
      </w:r>
      <w:r w:rsidR="00E3544E">
        <w:t xml:space="preserve"> to</w:t>
      </w:r>
      <w:r w:rsidRPr="00A27E4F">
        <w:t xml:space="preserve"> </w:t>
      </w:r>
      <w:r w:rsidR="00E3544E">
        <w:t xml:space="preserve">pomóc </w:t>
      </w:r>
      <w:r w:rsidR="00BE62D3">
        <w:t>powiązać</w:t>
      </w:r>
      <w:r w:rsidRPr="00A27E4F">
        <w:t xml:space="preserve"> </w:t>
      </w:r>
      <w:r w:rsidR="00BE62D3">
        <w:t>problem</w:t>
      </w:r>
      <w:r w:rsidRPr="00A27E4F">
        <w:t xml:space="preserve"> niskiej emisji </w:t>
      </w:r>
      <w:r w:rsidR="00BE62D3">
        <w:t>z lokalnych systemów ogrzewania z ubóstwem</w:t>
      </w:r>
      <w:r w:rsidRPr="00A27E4F">
        <w:t xml:space="preserve"> energetyczn</w:t>
      </w:r>
      <w:r w:rsidR="00BE62D3">
        <w:t>ym</w:t>
      </w:r>
      <w:r w:rsidRPr="00A27E4F">
        <w:t>.</w:t>
      </w:r>
    </w:p>
    <w:p w14:paraId="6191E25D" w14:textId="51F8E884" w:rsidR="00BE62D3" w:rsidRDefault="00BE62D3" w:rsidP="00444371">
      <w:pPr>
        <w:pStyle w:val="Bullety"/>
        <w:numPr>
          <w:ilvl w:val="0"/>
          <w:numId w:val="0"/>
        </w:numPr>
        <w:rPr>
          <w:b/>
        </w:rPr>
      </w:pPr>
      <w:r>
        <w:rPr>
          <w:b/>
        </w:rPr>
        <w:t>Wykres</w:t>
      </w:r>
      <w:r w:rsidRPr="00BE62D3">
        <w:rPr>
          <w:b/>
        </w:rPr>
        <w:t xml:space="preserve"> </w:t>
      </w:r>
      <w:r w:rsidR="000E7881">
        <w:rPr>
          <w:b/>
        </w:rPr>
        <w:t xml:space="preserve">9 </w:t>
      </w:r>
      <w:r w:rsidRPr="00BE62D3">
        <w:rPr>
          <w:b/>
        </w:rPr>
        <w:t xml:space="preserve">Udział ubogich energetycznie gospodarstw domowych [%] według głównego źródła ogrzewania </w:t>
      </w:r>
    </w:p>
    <w:p w14:paraId="53C135BA" w14:textId="0D3683E5" w:rsidR="00DE7032" w:rsidRPr="002E5705" w:rsidRDefault="006A1C43" w:rsidP="00444371">
      <w:pPr>
        <w:pStyle w:val="Bullety"/>
        <w:numPr>
          <w:ilvl w:val="0"/>
          <w:numId w:val="0"/>
        </w:numPr>
        <w:rPr>
          <w:b/>
        </w:rPr>
      </w:pPr>
      <w:r>
        <w:rPr>
          <w:noProof/>
        </w:rPr>
        <w:drawing>
          <wp:inline distT="0" distB="0" distL="0" distR="0" wp14:anchorId="7F6EAC26" wp14:editId="4585EEC5">
            <wp:extent cx="5545455" cy="2876973"/>
            <wp:effectExtent l="0" t="0" r="0" b="0"/>
            <wp:docPr id="31" name="Wykres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60B74B36" w14:textId="3EF62064" w:rsidR="00B02BC2" w:rsidRPr="00BE62D3" w:rsidRDefault="00BE62D3" w:rsidP="00BE62D3">
      <w:pPr>
        <w:pStyle w:val="Bullety"/>
        <w:numPr>
          <w:ilvl w:val="0"/>
          <w:numId w:val="0"/>
        </w:numPr>
      </w:pPr>
      <w:r w:rsidRPr="00BE62D3">
        <w:t xml:space="preserve">Według </w:t>
      </w:r>
      <w:r>
        <w:t>informacji Głównego Urzędu Statystycznego</w:t>
      </w:r>
      <w:r w:rsidRPr="00BE62D3">
        <w:t xml:space="preserve"> (2018) ceny energii w Polsce należą do </w:t>
      </w:r>
      <w:r>
        <w:t xml:space="preserve">jednych z </w:t>
      </w:r>
      <w:r w:rsidRPr="00BE62D3">
        <w:t xml:space="preserve">najwyższych w Europie. Przy wysokim zużyciu energii </w:t>
      </w:r>
      <w:r>
        <w:t>w</w:t>
      </w:r>
      <w:r w:rsidRPr="00BE62D3">
        <w:t xml:space="preserve"> gospodarstw</w:t>
      </w:r>
      <w:r>
        <w:t>ach</w:t>
      </w:r>
      <w:r w:rsidRPr="00BE62D3">
        <w:t xml:space="preserve"> domow</w:t>
      </w:r>
      <w:r>
        <w:t>ych</w:t>
      </w:r>
      <w:r w:rsidRPr="00BE62D3">
        <w:t xml:space="preserve">, ceny będą miały silny wpływ </w:t>
      </w:r>
      <w:r>
        <w:t xml:space="preserve">sytuację </w:t>
      </w:r>
      <w:r w:rsidRPr="00BE62D3">
        <w:t>ub</w:t>
      </w:r>
      <w:r>
        <w:t>ogich energetycznie. Dlatego</w:t>
      </w:r>
      <w:r w:rsidRPr="00BE62D3">
        <w:t xml:space="preserve"> w ostatecznym zestawie wskaźników </w:t>
      </w:r>
      <w:r>
        <w:t xml:space="preserve">powinny znaleźć się zarówno wskaźniki opierające się na faktycznych, </w:t>
      </w:r>
      <w:r w:rsidRPr="00BE62D3">
        <w:t>jak i hipotetycznych wydatkach energetycznych.</w:t>
      </w:r>
      <w:r w:rsidR="00E3544E">
        <w:t xml:space="preserve"> </w:t>
      </w:r>
      <w:r>
        <w:t>Podsumowując, opisana charakterystyka</w:t>
      </w:r>
      <w:r w:rsidRPr="00BE62D3">
        <w:t xml:space="preserve"> polskiego sektora energetycznego </w:t>
      </w:r>
      <w:r>
        <w:t>znajduje swoje odzwierciedlenie w</w:t>
      </w:r>
      <w:r w:rsidRPr="00BE62D3">
        <w:t xml:space="preserve"> </w:t>
      </w:r>
      <w:r>
        <w:t>rekomendowanych</w:t>
      </w:r>
      <w:r w:rsidRPr="00BE62D3">
        <w:t xml:space="preserve"> wskaźnik</w:t>
      </w:r>
      <w:r>
        <w:t>ach</w:t>
      </w:r>
      <w:r w:rsidRPr="00BE62D3">
        <w:t>, dlatego</w:t>
      </w:r>
      <w:r>
        <w:t xml:space="preserve"> na jej podstawie</w:t>
      </w:r>
      <w:r w:rsidRPr="00BE62D3">
        <w:t xml:space="preserve"> nie wprowadzamy dalszych zmian</w:t>
      </w:r>
      <w:r w:rsidR="00E3544E">
        <w:t xml:space="preserve"> w</w:t>
      </w:r>
      <w:r w:rsidRPr="00BE62D3">
        <w:t xml:space="preserve"> </w:t>
      </w:r>
      <w:r>
        <w:t>zestawie miar ubóstwa energetycznego w Polsce</w:t>
      </w:r>
      <w:r w:rsidRPr="00BE62D3">
        <w:t>.</w:t>
      </w:r>
    </w:p>
    <w:p w14:paraId="4FDB1834" w14:textId="502AFAD7" w:rsidR="00AA215E" w:rsidRPr="00FD5201" w:rsidRDefault="00FD5201" w:rsidP="00C7122A">
      <w:pPr>
        <w:pStyle w:val="Nagwek1"/>
        <w:numPr>
          <w:ilvl w:val="0"/>
          <w:numId w:val="43"/>
        </w:numPr>
      </w:pPr>
      <w:bookmarkStart w:id="31" w:name="_Toc528189743"/>
      <w:r>
        <w:t>Konsul</w:t>
      </w:r>
      <w:r w:rsidRPr="00FD5201">
        <w:t>t</w:t>
      </w:r>
      <w:r>
        <w:t>a</w:t>
      </w:r>
      <w:r w:rsidRPr="00FD5201">
        <w:t>cje Produktu 3a</w:t>
      </w:r>
      <w:bookmarkEnd w:id="31"/>
    </w:p>
    <w:p w14:paraId="4C78A30A" w14:textId="19CAAD32" w:rsidR="00DC12B1" w:rsidRPr="00DC12B1" w:rsidRDefault="00DC12B1" w:rsidP="006D30DB">
      <w:pPr>
        <w:pStyle w:val="Normal1"/>
      </w:pPr>
      <w:r w:rsidRPr="00DC12B1">
        <w:t xml:space="preserve">Konsultacje odbyły się 18.10.18. w Ministerstwie Energii. </w:t>
      </w:r>
      <w:r>
        <w:t>Odbiorcy</w:t>
      </w:r>
      <w:r w:rsidRPr="00DC12B1">
        <w:t xml:space="preserve"> projektu aktywnie uczestniczy</w:t>
      </w:r>
      <w:r>
        <w:t>li w</w:t>
      </w:r>
      <w:r w:rsidRPr="00DC12B1">
        <w:t xml:space="preserve"> spotkaniu i omawia</w:t>
      </w:r>
      <w:r>
        <w:t>li</w:t>
      </w:r>
      <w:r w:rsidRPr="00DC12B1">
        <w:t xml:space="preserve"> proponowane definicje </w:t>
      </w:r>
      <w:r>
        <w:t>i</w:t>
      </w:r>
      <w:r w:rsidRPr="00DC12B1">
        <w:t xml:space="preserve"> wskaźniki ubóstwa energetycznego. Zgodnie z sugestiami interesariuszy</w:t>
      </w:r>
      <w:r>
        <w:t xml:space="preserve"> projektu</w:t>
      </w:r>
      <w:r w:rsidRPr="00DC12B1">
        <w:t xml:space="preserve"> </w:t>
      </w:r>
      <w:r w:rsidR="00E3544E">
        <w:t>proponujemy</w:t>
      </w:r>
      <w:r>
        <w:t xml:space="preserve"> </w:t>
      </w:r>
      <w:r w:rsidRPr="00DC12B1">
        <w:t xml:space="preserve">wprowadzenie dodatkowych zmian w zestawie wskaźników. </w:t>
      </w:r>
      <w:r>
        <w:t>W niniejszym rozdziale p</w:t>
      </w:r>
      <w:r w:rsidRPr="00DC12B1">
        <w:t>rezentujemy główne ustalenia spotkania i opisujemy wprowadzone zmiany.</w:t>
      </w:r>
    </w:p>
    <w:p w14:paraId="7401081A" w14:textId="32F9C983" w:rsidR="00383198" w:rsidRPr="00DC12B1" w:rsidRDefault="00DC12B1" w:rsidP="006D30DB">
      <w:pPr>
        <w:pStyle w:val="Nagwek2"/>
        <w:numPr>
          <w:ilvl w:val="1"/>
          <w:numId w:val="44"/>
        </w:numPr>
      </w:pPr>
      <w:bookmarkStart w:id="32" w:name="_Toc528189744"/>
      <w:r>
        <w:t>D</w:t>
      </w:r>
      <w:r w:rsidRPr="00DC12B1">
        <w:t>efinicj</w:t>
      </w:r>
      <w:r>
        <w:t>a</w:t>
      </w:r>
      <w:r w:rsidRPr="00DC12B1">
        <w:t xml:space="preserve"> ubóstwa energetycznego w Polsce</w:t>
      </w:r>
      <w:bookmarkEnd w:id="32"/>
    </w:p>
    <w:p w14:paraId="33B486CD" w14:textId="337C4D33" w:rsidR="00DC12B1" w:rsidRPr="00DC12B1" w:rsidRDefault="00DC12B1" w:rsidP="006D30DB">
      <w:pPr>
        <w:pStyle w:val="Normal1"/>
      </w:pPr>
      <w:r>
        <w:t>Odbiorcy projektu</w:t>
      </w:r>
      <w:r w:rsidRPr="00DC12B1">
        <w:t xml:space="preserve"> </w:t>
      </w:r>
      <w:r>
        <w:t>zaakceptowali</w:t>
      </w:r>
      <w:r w:rsidRPr="00DC12B1">
        <w:t xml:space="preserve"> </w:t>
      </w:r>
      <w:r>
        <w:t>proponowaną definicję ubóstwa energetycznego</w:t>
      </w:r>
      <w:r w:rsidRPr="00DC12B1">
        <w:t xml:space="preserve">, </w:t>
      </w:r>
      <w:r>
        <w:t>która pozwoli</w:t>
      </w:r>
      <w:r w:rsidRPr="00DC12B1">
        <w:t xml:space="preserve"> skutecznie przeciwdziałać </w:t>
      </w:r>
      <w:r>
        <w:t>problemowi</w:t>
      </w:r>
      <w:r w:rsidRPr="00DC12B1">
        <w:t xml:space="preserve"> w Polsce. </w:t>
      </w:r>
      <w:r>
        <w:t>Dlatego</w:t>
      </w:r>
      <w:r w:rsidRPr="00DC12B1">
        <w:t xml:space="preserve"> trzy poziomy szcze</w:t>
      </w:r>
      <w:r>
        <w:t xml:space="preserve">gółowości zostaną wykorzystane w zależności od </w:t>
      </w:r>
      <w:r w:rsidRPr="00DC12B1">
        <w:t>cel</w:t>
      </w:r>
      <w:r>
        <w:t>ów administrac</w:t>
      </w:r>
      <w:r w:rsidRPr="00DC12B1">
        <w:t>j</w:t>
      </w:r>
      <w:r>
        <w:t>i</w:t>
      </w:r>
      <w:r w:rsidRPr="00DC12B1">
        <w:t>. Nie zaproponowano żadnych zmian w definicji.</w:t>
      </w:r>
    </w:p>
    <w:p w14:paraId="094A10D1" w14:textId="518252D1" w:rsidR="00802B80" w:rsidRPr="00DC12B1" w:rsidRDefault="00DC12B1" w:rsidP="006D30DB">
      <w:pPr>
        <w:pStyle w:val="Nagwek2"/>
        <w:numPr>
          <w:ilvl w:val="1"/>
          <w:numId w:val="44"/>
        </w:numPr>
      </w:pPr>
      <w:bookmarkStart w:id="33" w:name="_Toc528189745"/>
      <w:r w:rsidRPr="00DC12B1">
        <w:t>Zmiany w Badaniu Budżetów Gospodarstw Domowych w Polsce w 2018 i 2019 r.</w:t>
      </w:r>
      <w:bookmarkEnd w:id="33"/>
    </w:p>
    <w:p w14:paraId="618B9462" w14:textId="4F9C7D51" w:rsidR="00DC12B1" w:rsidRPr="00DC12B1" w:rsidRDefault="00DC12B1" w:rsidP="00DC12B1">
      <w:pPr>
        <w:pStyle w:val="Normal1"/>
      </w:pPr>
      <w:r w:rsidRPr="00DC12B1">
        <w:t xml:space="preserve">Przedstawiciele </w:t>
      </w:r>
      <w:r>
        <w:t xml:space="preserve">Głównego Urzędu Statystycznego </w:t>
      </w:r>
      <w:r w:rsidRPr="00DC12B1">
        <w:t xml:space="preserve">poinformowali </w:t>
      </w:r>
      <w:r>
        <w:t xml:space="preserve">interesariuszy projektu </w:t>
      </w:r>
      <w:r w:rsidRPr="00DC12B1">
        <w:t xml:space="preserve">o zmianach wprowadzonych w </w:t>
      </w:r>
      <w:r>
        <w:t>B</w:t>
      </w:r>
      <w:r w:rsidRPr="00DC12B1">
        <w:t xml:space="preserve">adaniu </w:t>
      </w:r>
      <w:r>
        <w:t>Budżetów</w:t>
      </w:r>
      <w:r w:rsidRPr="00DC12B1">
        <w:t xml:space="preserve"> </w:t>
      </w:r>
      <w:r>
        <w:t>G</w:t>
      </w:r>
      <w:r w:rsidRPr="00DC12B1">
        <w:t xml:space="preserve">ospodarstw </w:t>
      </w:r>
      <w:r>
        <w:t>D</w:t>
      </w:r>
      <w:r w:rsidRPr="00DC12B1">
        <w:t xml:space="preserve">omowych </w:t>
      </w:r>
      <w:r>
        <w:t xml:space="preserve">na </w:t>
      </w:r>
      <w:r w:rsidRPr="00DC12B1">
        <w:t xml:space="preserve">2018 r., </w:t>
      </w:r>
      <w:r>
        <w:t>k</w:t>
      </w:r>
      <w:r w:rsidRPr="00DC12B1">
        <w:t xml:space="preserve">tóre </w:t>
      </w:r>
      <w:r>
        <w:t>będą miały</w:t>
      </w:r>
      <w:r w:rsidRPr="00DC12B1">
        <w:t xml:space="preserve"> wpływ na następujące wskaźniki:</w:t>
      </w:r>
    </w:p>
    <w:p w14:paraId="42C86A96" w14:textId="0FCCFFD9" w:rsidR="00DC12B1" w:rsidRPr="00DC12B1" w:rsidRDefault="00DC12B1" w:rsidP="00DC12B1">
      <w:pPr>
        <w:pStyle w:val="Bullety"/>
      </w:pPr>
      <w:r w:rsidRPr="00DC12B1">
        <w:t>Budynek z przeciekającym dachem, zawilgoconymi ścianami, podłogami, fundamentami, butwiejącymi oknami lub podłogami</w:t>
      </w:r>
    </w:p>
    <w:p w14:paraId="1DADE76B" w14:textId="0F6305B3" w:rsidR="00DC12B1" w:rsidRPr="0035247F" w:rsidRDefault="0035247F" w:rsidP="00DC12B1">
      <w:pPr>
        <w:pStyle w:val="Normal1"/>
      </w:pPr>
      <w:r>
        <w:t>W zmienionej wersji badania pytanie ma następujące brzmienie</w:t>
      </w:r>
      <w:r w:rsidR="00DC12B1" w:rsidRPr="00DC12B1">
        <w:t xml:space="preserve">: </w:t>
      </w:r>
      <w:r>
        <w:t>„</w:t>
      </w:r>
      <w:r w:rsidR="00DC12B1" w:rsidRPr="00DC12B1">
        <w:t xml:space="preserve">Czy mieszkanie </w:t>
      </w:r>
      <w:r w:rsidRPr="0035247F">
        <w:rPr>
          <w:bCs/>
        </w:rPr>
        <w:t>posiada odpowiednie warunki techniczno-sanitarne – sprawną instalację kanalizacyjną, wodociągową, elektryczną,</w:t>
      </w:r>
      <w:r w:rsidRPr="0035247F">
        <w:t xml:space="preserve"> </w:t>
      </w:r>
      <w:r w:rsidRPr="0035247F">
        <w:rPr>
          <w:bCs/>
        </w:rPr>
        <w:t>gazową, grzewczą; dobry stan dachu, ścian, podłóg, okien</w:t>
      </w:r>
      <w:r>
        <w:rPr>
          <w:bCs/>
        </w:rPr>
        <w:t xml:space="preserve">”. </w:t>
      </w:r>
      <w:r>
        <w:t>Połączenie</w:t>
      </w:r>
      <w:r w:rsidR="00DC12B1" w:rsidRPr="00DC12B1">
        <w:t xml:space="preserve"> </w:t>
      </w:r>
      <w:r>
        <w:t xml:space="preserve">stanu technicznego  </w:t>
      </w:r>
      <w:r w:rsidR="00DC12B1" w:rsidRPr="00DC12B1">
        <w:t xml:space="preserve">systemów energetycznych i instalacji sanitarnych ze stanem technicznym </w:t>
      </w:r>
      <w:r w:rsidR="001252D4">
        <w:t>elementów budynku</w:t>
      </w:r>
      <w:r w:rsidR="00DC12B1" w:rsidRPr="00DC12B1">
        <w:t xml:space="preserve"> prowadzi do nadmiernej generalizacji i może utrudnić identyfikację </w:t>
      </w:r>
      <w:r w:rsidR="00E3544E">
        <w:t xml:space="preserve">gospodarstw domowych </w:t>
      </w:r>
      <w:r w:rsidR="00DC12B1" w:rsidRPr="00DC12B1">
        <w:t xml:space="preserve">ubogich energetycznie. </w:t>
      </w:r>
      <w:r w:rsidR="001252D4">
        <w:t xml:space="preserve">Dodatkowo, </w:t>
      </w:r>
      <w:r w:rsidR="00DC12B1" w:rsidRPr="00DC12B1">
        <w:t xml:space="preserve">część pytania związana ze stanem mieszkania jest mniej szczegółowa, co może </w:t>
      </w:r>
      <w:r w:rsidR="001252D4">
        <w:t>s</w:t>
      </w:r>
      <w:r w:rsidR="00DC12B1" w:rsidRPr="00DC12B1">
        <w:t>komplikować proces pomiaru ubóstwa energetycznego.</w:t>
      </w:r>
    </w:p>
    <w:p w14:paraId="3393AF11" w14:textId="0E278A46" w:rsidR="00DC12B1" w:rsidRPr="00DC12B1" w:rsidRDefault="00DC12B1" w:rsidP="003E4A47">
      <w:pPr>
        <w:pStyle w:val="Bullety"/>
        <w:rPr>
          <w:lang w:val="en-GB"/>
        </w:rPr>
      </w:pPr>
      <w:r w:rsidRPr="003E4A47">
        <w:t>Nie</w:t>
      </w:r>
      <w:r w:rsidR="003E4A47" w:rsidRPr="003E4A47">
        <w:t>dostateczny</w:t>
      </w:r>
      <w:r w:rsidRPr="003E4A47">
        <w:t xml:space="preserve"> komfort cieplny</w:t>
      </w:r>
    </w:p>
    <w:p w14:paraId="0D5D30AD" w14:textId="1052BF39" w:rsidR="00DC12B1" w:rsidRPr="001252D4" w:rsidRDefault="00DC12B1" w:rsidP="001252D4">
      <w:pPr>
        <w:pStyle w:val="Normal1"/>
      </w:pPr>
      <w:r w:rsidRPr="001252D4">
        <w:t>Wskaźnik został połączony z niewystarczającym chłodzeniem w lecie</w:t>
      </w:r>
      <w:r w:rsidR="00E3544E">
        <w:t xml:space="preserve"> i</w:t>
      </w:r>
      <w:r w:rsidR="001252D4">
        <w:t xml:space="preserve"> </w:t>
      </w:r>
      <w:r w:rsidR="00E3544E">
        <w:t>będzie</w:t>
      </w:r>
      <w:r w:rsidRPr="001252D4">
        <w:t xml:space="preserve"> m</w:t>
      </w:r>
      <w:r w:rsidR="00E3544E">
        <w:t>iał</w:t>
      </w:r>
      <w:r w:rsidRPr="001252D4">
        <w:t xml:space="preserve"> następując</w:t>
      </w:r>
      <w:r w:rsidR="001252D4">
        <w:t>e</w:t>
      </w:r>
      <w:r w:rsidRPr="001252D4">
        <w:t xml:space="preserve"> </w:t>
      </w:r>
      <w:r w:rsidR="001252D4">
        <w:t>brzmienie</w:t>
      </w:r>
      <w:r w:rsidRPr="001252D4">
        <w:t xml:space="preserve">: </w:t>
      </w:r>
      <w:r w:rsidR="001252D4">
        <w:t xml:space="preserve">„czy mieszkanie </w:t>
      </w:r>
      <w:r w:rsidR="001252D4" w:rsidRPr="001252D4">
        <w:rPr>
          <w:bCs/>
        </w:rPr>
        <w:t>zapewnia komfort termiczny (jest wystarczająco ciepłe w zimie, odpowiednio chłodne w lecie)</w:t>
      </w:r>
      <w:r w:rsidR="001252D4">
        <w:rPr>
          <w:bCs/>
        </w:rPr>
        <w:t>”</w:t>
      </w:r>
      <w:r w:rsidRPr="001252D4">
        <w:t>. Zmiany skomplikują proces identyfikacji ubogich e</w:t>
      </w:r>
      <w:r w:rsidR="001252D4">
        <w:t>nergetycznie w Polsce. Chociaż oby</w:t>
      </w:r>
      <w:r w:rsidRPr="001252D4">
        <w:t>dwie kategorie są związane z su</w:t>
      </w:r>
      <w:r w:rsidR="001252D4">
        <w:t>biektywnym komfortem cieplnym i mają zbliżone</w:t>
      </w:r>
      <w:r w:rsidRPr="001252D4">
        <w:t xml:space="preserve"> </w:t>
      </w:r>
      <w:r w:rsidR="001252D4">
        <w:t>przyczyny</w:t>
      </w:r>
      <w:r w:rsidRPr="001252D4">
        <w:t xml:space="preserve"> (</w:t>
      </w:r>
      <w:r w:rsidR="001252D4">
        <w:t>tkanka mieszkaniowa oraz</w:t>
      </w:r>
      <w:r w:rsidRPr="001252D4">
        <w:t xml:space="preserve"> warunk</w:t>
      </w:r>
      <w:r w:rsidR="00E3544E">
        <w:t>i</w:t>
      </w:r>
      <w:r w:rsidRPr="001252D4">
        <w:t xml:space="preserve"> klimatyczn</w:t>
      </w:r>
      <w:r w:rsidR="001252D4">
        <w:t>e</w:t>
      </w:r>
      <w:r w:rsidRPr="001252D4">
        <w:t xml:space="preserve">), </w:t>
      </w:r>
      <w:r w:rsidR="001252D4">
        <w:t>dotyczą</w:t>
      </w:r>
      <w:r w:rsidRPr="001252D4">
        <w:t xml:space="preserve"> one dw</w:t>
      </w:r>
      <w:r w:rsidR="001252D4">
        <w:t>óch</w:t>
      </w:r>
      <w:r w:rsidRPr="001252D4">
        <w:t xml:space="preserve"> skrajn</w:t>
      </w:r>
      <w:r w:rsidR="001252D4">
        <w:t>ych</w:t>
      </w:r>
      <w:r w:rsidRPr="001252D4">
        <w:t xml:space="preserve"> aspekt</w:t>
      </w:r>
      <w:r w:rsidR="001252D4">
        <w:t>ów</w:t>
      </w:r>
      <w:r w:rsidRPr="001252D4">
        <w:t xml:space="preserve"> problemu. Biorąc pod uwagę polskie warunki klimatyczne, wysokie temperatury latem i niskie zimą, </w:t>
      </w:r>
      <w:r w:rsidR="005457BE">
        <w:t>podział pytania na dwa jest niezbędny</w:t>
      </w:r>
      <w:r w:rsidRPr="001252D4">
        <w:t xml:space="preserve">, aby </w:t>
      </w:r>
      <w:r w:rsidR="005457BE">
        <w:t>właściwie identyfikować</w:t>
      </w:r>
      <w:r w:rsidRPr="001252D4">
        <w:t xml:space="preserve"> ubogie energ</w:t>
      </w:r>
      <w:r w:rsidR="005457BE">
        <w:t>etycznie</w:t>
      </w:r>
      <w:r w:rsidRPr="001252D4">
        <w:t xml:space="preserve"> gospodarstwa domowe. </w:t>
      </w:r>
      <w:r w:rsidR="005457BE">
        <w:t>Istniejący do tej pory</w:t>
      </w:r>
      <w:r w:rsidRPr="001252D4">
        <w:t xml:space="preserve"> wskaźniki </w:t>
      </w:r>
      <w:r w:rsidR="005457BE">
        <w:t>z BBGD</w:t>
      </w:r>
      <w:r w:rsidRPr="001252D4">
        <w:t xml:space="preserve"> </w:t>
      </w:r>
      <w:r w:rsidR="005457BE">
        <w:t>pokazywał</w:t>
      </w:r>
      <w:r w:rsidRPr="001252D4">
        <w:t>, że rozkład niedostatecznego komfortu cieplnego w zimie</w:t>
      </w:r>
      <w:r w:rsidR="005457BE">
        <w:t xml:space="preserve"> z podziałem na</w:t>
      </w:r>
      <w:r w:rsidRPr="001252D4">
        <w:t xml:space="preserve"> różn</w:t>
      </w:r>
      <w:r w:rsidR="005457BE">
        <w:t>e</w:t>
      </w:r>
      <w:r w:rsidRPr="001252D4">
        <w:t xml:space="preserve"> typ</w:t>
      </w:r>
      <w:r w:rsidR="005457BE">
        <w:t>y budynków,</w:t>
      </w:r>
      <w:r w:rsidRPr="001252D4">
        <w:t xml:space="preserve"> jest wyraźnie </w:t>
      </w:r>
      <w:r w:rsidR="005457BE">
        <w:t>odmienny</w:t>
      </w:r>
      <w:r w:rsidRPr="001252D4">
        <w:t xml:space="preserve"> od rozkładu nie</w:t>
      </w:r>
      <w:r w:rsidR="005457BE">
        <w:t>wystarczającego</w:t>
      </w:r>
      <w:r w:rsidRPr="001252D4">
        <w:t xml:space="preserve"> chłod</w:t>
      </w:r>
      <w:r w:rsidR="005457BE">
        <w:t>u</w:t>
      </w:r>
      <w:r w:rsidRPr="001252D4">
        <w:t xml:space="preserve"> w lecie.</w:t>
      </w:r>
      <w:r w:rsidR="00CD1194">
        <w:t xml:space="preserve"> Dodatkowo, niedostateczny komfort cieplny jest jednym z podstawowych problemów, z jakimi zmagają się ubogie energetycznie gospodarstwa domowe w Polsce.</w:t>
      </w:r>
    </w:p>
    <w:p w14:paraId="5BC16D7D" w14:textId="0770029E" w:rsidR="00AD0A3A" w:rsidRPr="005457BE" w:rsidRDefault="005457BE" w:rsidP="006D30DB">
      <w:pPr>
        <w:pStyle w:val="Nagwek2"/>
        <w:numPr>
          <w:ilvl w:val="1"/>
          <w:numId w:val="44"/>
        </w:numPr>
      </w:pPr>
      <w:bookmarkStart w:id="34" w:name="_Toc528189746"/>
      <w:r w:rsidRPr="005457BE">
        <w:t>Rozwiązanie problemu niedokładności wskaźników opartych na BBGD przez wykorzystanie 3 wskaźników z EU-SILC</w:t>
      </w:r>
      <w:bookmarkEnd w:id="34"/>
    </w:p>
    <w:p w14:paraId="1D8B5638" w14:textId="3BBF67DC" w:rsidR="005457BE" w:rsidRPr="005457BE" w:rsidRDefault="005457BE" w:rsidP="005457BE">
      <w:pPr>
        <w:pStyle w:val="Bullety"/>
        <w:numPr>
          <w:ilvl w:val="0"/>
          <w:numId w:val="0"/>
        </w:numPr>
      </w:pPr>
      <w:r w:rsidRPr="005457BE">
        <w:t>Odbiorcy</w:t>
      </w:r>
      <w:r>
        <w:t xml:space="preserve"> projektu zgodzili</w:t>
      </w:r>
      <w:r w:rsidRPr="005457BE">
        <w:t xml:space="preserve"> się na sugestię wykorzystania trzech wskaźników opartych na bazie danych EU-SILC</w:t>
      </w:r>
      <w:r>
        <w:t>,</w:t>
      </w:r>
      <w:r w:rsidRPr="005457BE">
        <w:t xml:space="preserve"> w celu rozwiązania problemu z potencjalną niedokładnością wskaźników</w:t>
      </w:r>
      <w:r>
        <w:t xml:space="preserve"> z </w:t>
      </w:r>
      <w:r w:rsidRPr="005457BE">
        <w:t xml:space="preserve"> </w:t>
      </w:r>
      <w:r>
        <w:t>B</w:t>
      </w:r>
      <w:r w:rsidRPr="005457BE">
        <w:t xml:space="preserve">adania </w:t>
      </w:r>
      <w:r>
        <w:t>B</w:t>
      </w:r>
      <w:r w:rsidRPr="005457BE">
        <w:t xml:space="preserve">udżetów </w:t>
      </w:r>
      <w:r>
        <w:t>G</w:t>
      </w:r>
      <w:r w:rsidRPr="005457BE">
        <w:t xml:space="preserve">ospodarstw </w:t>
      </w:r>
      <w:r>
        <w:t>D</w:t>
      </w:r>
      <w:r w:rsidRPr="005457BE">
        <w:t xml:space="preserve">omowych. </w:t>
      </w:r>
      <w:r>
        <w:t>Wynika to z faktu, że n</w:t>
      </w:r>
      <w:r w:rsidRPr="005457BE">
        <w:t xml:space="preserve">ie można wprowadzić zmian w </w:t>
      </w:r>
      <w:r>
        <w:t>BBGD</w:t>
      </w:r>
      <w:r w:rsidRPr="005457BE">
        <w:t xml:space="preserve"> do 2020 r., </w:t>
      </w:r>
      <w:r>
        <w:t>p</w:t>
      </w:r>
      <w:r w:rsidRPr="005457BE">
        <w:t xml:space="preserve">onieważ proces drukowania ankiet </w:t>
      </w:r>
      <w:r>
        <w:t>na rok</w:t>
      </w:r>
      <w:r w:rsidRPr="005457BE">
        <w:t xml:space="preserve"> 2019 </w:t>
      </w:r>
      <w:r>
        <w:t>j</w:t>
      </w:r>
      <w:r w:rsidRPr="005457BE">
        <w:t>uż się rozpoczął.</w:t>
      </w:r>
    </w:p>
    <w:p w14:paraId="2B3EC861" w14:textId="16F4B906" w:rsidR="005457BE" w:rsidRPr="005457BE" w:rsidRDefault="005457BE" w:rsidP="005457BE">
      <w:pPr>
        <w:pStyle w:val="Bullety"/>
        <w:numPr>
          <w:ilvl w:val="0"/>
          <w:numId w:val="0"/>
        </w:numPr>
      </w:pPr>
      <w:r w:rsidRPr="005457BE">
        <w:t xml:space="preserve">Dlatego </w:t>
      </w:r>
      <w:r>
        <w:t xml:space="preserve">sugerujemy </w:t>
      </w:r>
      <w:r w:rsidRPr="005457BE">
        <w:t>zast</w:t>
      </w:r>
      <w:r>
        <w:t>ą</w:t>
      </w:r>
      <w:r w:rsidRPr="005457BE">
        <w:t>p</w:t>
      </w:r>
      <w:r>
        <w:t>ienie</w:t>
      </w:r>
      <w:r w:rsidRPr="005457BE">
        <w:t xml:space="preserve"> </w:t>
      </w:r>
      <w:r>
        <w:t xml:space="preserve">wskaźników </w:t>
      </w:r>
      <w:r w:rsidRPr="005457BE">
        <w:t>opart</w:t>
      </w:r>
      <w:r>
        <w:t>ych o własną ocenę sytuacji gospodarstwa domowego</w:t>
      </w:r>
      <w:r w:rsidRPr="005457BE">
        <w:t xml:space="preserve"> </w:t>
      </w:r>
      <w:r>
        <w:t>bazujących na BBGD</w:t>
      </w:r>
      <w:r w:rsidRPr="005457BE">
        <w:t xml:space="preserve"> </w:t>
      </w:r>
      <w:r>
        <w:t>na korespondujące z pytaniami z EU-SILC:</w:t>
      </w:r>
    </w:p>
    <w:p w14:paraId="3875D3B5" w14:textId="16960D8C" w:rsidR="005457BE" w:rsidRPr="00BC6FBB" w:rsidRDefault="005457BE" w:rsidP="005B0797">
      <w:pPr>
        <w:pStyle w:val="Bullety"/>
      </w:pPr>
      <w:r>
        <w:t>P</w:t>
      </w:r>
      <w:r w:rsidRPr="00DC12B1">
        <w:t>rzeciekający dach, zawilgocon</w:t>
      </w:r>
      <w:r>
        <w:t>e</w:t>
      </w:r>
      <w:r w:rsidRPr="00DC12B1">
        <w:t xml:space="preserve"> ścian</w:t>
      </w:r>
      <w:r>
        <w:t>y/</w:t>
      </w:r>
      <w:r w:rsidRPr="00DC12B1">
        <w:t>podłog</w:t>
      </w:r>
      <w:r>
        <w:t>i/</w:t>
      </w:r>
      <w:r w:rsidRPr="00DC12B1">
        <w:t>fundament</w:t>
      </w:r>
      <w:r>
        <w:t>y</w:t>
      </w:r>
      <w:r w:rsidR="004C5E28">
        <w:t xml:space="preserve"> lub</w:t>
      </w:r>
      <w:r w:rsidRPr="00DC12B1">
        <w:t xml:space="preserve"> butwiejąc</w:t>
      </w:r>
      <w:r w:rsidR="004C5E28">
        <w:t>e okna</w:t>
      </w:r>
      <w:r w:rsidRPr="00DC12B1">
        <w:t xml:space="preserve"> lub podłog</w:t>
      </w:r>
      <w:r w:rsidR="004C5E28">
        <w:t>i</w:t>
      </w:r>
    </w:p>
    <w:p w14:paraId="159271E7" w14:textId="7CC1CB44" w:rsidR="004C5E28" w:rsidRPr="00160DFE" w:rsidRDefault="009E5642" w:rsidP="006D30DB">
      <w:pPr>
        <w:pStyle w:val="Bullety"/>
      </w:pPr>
      <w:r>
        <w:t>Niew</w:t>
      </w:r>
      <w:r w:rsidR="00160DFE" w:rsidRPr="00160DFE">
        <w:t>ystarczający komfort cieplny</w:t>
      </w:r>
    </w:p>
    <w:p w14:paraId="0B1045B0" w14:textId="66E7CB3C" w:rsidR="005B0797" w:rsidRPr="00160DFE" w:rsidRDefault="00160DFE" w:rsidP="006D30DB">
      <w:pPr>
        <w:pStyle w:val="Bullety"/>
      </w:pPr>
      <w:r w:rsidRPr="00160DFE">
        <w:t>Zaległości na rachunkach</w:t>
      </w:r>
    </w:p>
    <w:p w14:paraId="2769ECE0" w14:textId="361D9702" w:rsidR="00160DFE" w:rsidRPr="00160DFE" w:rsidRDefault="00160DFE" w:rsidP="006D30DB">
      <w:pPr>
        <w:pStyle w:val="Bullety"/>
        <w:numPr>
          <w:ilvl w:val="0"/>
          <w:numId w:val="0"/>
        </w:numPr>
      </w:pPr>
      <w:r w:rsidRPr="00160DFE">
        <w:t xml:space="preserve">Powyższe trzy wskaźniki zostały wysoko ocenione w Produkcie 2b </w:t>
      </w:r>
      <w:r w:rsidRPr="00160DFE">
        <w:rPr>
          <w:i/>
        </w:rPr>
        <w:t>Ocena jakości danych i wskaźniki ubóstwa energetycznego</w:t>
      </w:r>
      <w:r w:rsidRPr="00160DFE">
        <w:t xml:space="preserve">, co zapewnia </w:t>
      </w:r>
      <w:r>
        <w:t xml:space="preserve">ich wysoką </w:t>
      </w:r>
      <w:r w:rsidRPr="00160DFE">
        <w:t xml:space="preserve">jakość w procesie monitorowania ubóstwa energetycznego w Polsce. Wprowadzona zmiana nie zagraża właściwej identyfikacji ubogich energetycznie gospodarstw domowych, dlatego </w:t>
      </w:r>
      <w:r>
        <w:t xml:space="preserve">wskaźniki </w:t>
      </w:r>
      <w:r w:rsidRPr="00160DFE">
        <w:t xml:space="preserve">zostaną </w:t>
      </w:r>
      <w:r>
        <w:t>wykorzystane w procesie mierzenia ubóstwa energetycznego.</w:t>
      </w:r>
    </w:p>
    <w:p w14:paraId="37C095AA" w14:textId="7CB24E8E" w:rsidR="00AD0A3A" w:rsidRPr="00160DFE" w:rsidRDefault="00160DFE" w:rsidP="006D30DB">
      <w:pPr>
        <w:pStyle w:val="Nagwek2"/>
        <w:numPr>
          <w:ilvl w:val="1"/>
          <w:numId w:val="44"/>
        </w:numPr>
      </w:pPr>
      <w:bookmarkStart w:id="35" w:name="_Toc528189747"/>
      <w:r w:rsidRPr="00160DFE">
        <w:t>Reko</w:t>
      </w:r>
      <w:r>
        <w:t>me</w:t>
      </w:r>
      <w:r w:rsidRPr="00160DFE">
        <w:t xml:space="preserve">ndacje dotyczące wskaźnika </w:t>
      </w:r>
      <w:r w:rsidR="00E3544E">
        <w:rPr>
          <w:szCs w:val="20"/>
        </w:rPr>
        <w:t>22% u</w:t>
      </w:r>
      <w:r w:rsidRPr="00160DFE">
        <w:rPr>
          <w:szCs w:val="20"/>
        </w:rPr>
        <w:t>dział</w:t>
      </w:r>
      <w:r w:rsidR="00E3544E">
        <w:rPr>
          <w:szCs w:val="20"/>
        </w:rPr>
        <w:t>u</w:t>
      </w:r>
      <w:r w:rsidRPr="00160DFE">
        <w:rPr>
          <w:szCs w:val="20"/>
        </w:rPr>
        <w:t xml:space="preserve"> wymaganych wydatków na energię względem dochodu</w:t>
      </w:r>
      <w:bookmarkEnd w:id="35"/>
    </w:p>
    <w:p w14:paraId="78F1C021" w14:textId="6C3818D1" w:rsidR="00160DFE" w:rsidRPr="00160DFE" w:rsidRDefault="00160DFE" w:rsidP="00160DFE">
      <w:pPr>
        <w:pStyle w:val="Normal1"/>
      </w:pPr>
      <w:r w:rsidRPr="00160DFE">
        <w:t xml:space="preserve">Na wniosek uczestników </w:t>
      </w:r>
      <w:r>
        <w:t>spotkania</w:t>
      </w:r>
      <w:r w:rsidRPr="00160DFE">
        <w:t xml:space="preserve"> </w:t>
      </w:r>
      <w:r w:rsidR="003E7A50">
        <w:t xml:space="preserve">sugerujemy </w:t>
      </w:r>
      <w:r w:rsidRPr="00160DFE">
        <w:t>wy</w:t>
      </w:r>
      <w:r w:rsidR="003E7A50">
        <w:t>łączenie wskaźnika</w:t>
      </w:r>
      <w:r w:rsidRPr="00160DFE">
        <w:t xml:space="preserve"> </w:t>
      </w:r>
      <w:r>
        <w:t>„</w:t>
      </w:r>
      <w:r w:rsidRPr="00160DFE">
        <w:t>22% próg ubóstwa energetycznego</w:t>
      </w:r>
      <w:r>
        <w:t>”</w:t>
      </w:r>
      <w:r w:rsidRPr="00160DFE">
        <w:t xml:space="preserve"> </w:t>
      </w:r>
      <w:r w:rsidR="00E3544E">
        <w:t xml:space="preserve">z </w:t>
      </w:r>
      <w:r w:rsidR="003E7A50">
        <w:t>procesu monitorowania ubóstwa energetycznego</w:t>
      </w:r>
      <w:r w:rsidRPr="00160DFE">
        <w:t xml:space="preserve">. </w:t>
      </w:r>
      <w:r w:rsidRPr="003E7A50">
        <w:t xml:space="preserve">Wynika to z faktu, że wskaźnik </w:t>
      </w:r>
      <w:r w:rsidR="00E3544E">
        <w:t>wnosi niewiele nowych informacji do</w:t>
      </w:r>
      <w:r w:rsidR="003E7A50" w:rsidRPr="003E7A50">
        <w:t xml:space="preserve"> opis</w:t>
      </w:r>
      <w:r w:rsidR="00E3544E">
        <w:t>u</w:t>
      </w:r>
      <w:r w:rsidR="003E7A50" w:rsidRPr="003E7A50">
        <w:t xml:space="preserve"> ubóstwa energetycznego, a może skomplikować proces jego monitorowania.</w:t>
      </w:r>
    </w:p>
    <w:p w14:paraId="4C0518FD" w14:textId="542034B0" w:rsidR="003E7A50" w:rsidRDefault="00160DFE" w:rsidP="00160DFE">
      <w:pPr>
        <w:pStyle w:val="Normal1"/>
      </w:pPr>
      <w:r w:rsidRPr="00160DFE">
        <w:t>Zestaw</w:t>
      </w:r>
      <w:r w:rsidR="003E7A50">
        <w:t xml:space="preserve"> wskaźników</w:t>
      </w:r>
      <w:r w:rsidRPr="00160DFE">
        <w:t xml:space="preserve"> zawiera trzy </w:t>
      </w:r>
      <w:r w:rsidR="003E7A50">
        <w:t xml:space="preserve">miary opierające się na </w:t>
      </w:r>
      <w:r w:rsidRPr="00160DFE">
        <w:t>dochod</w:t>
      </w:r>
      <w:r w:rsidR="003E7A50">
        <w:t>ach/</w:t>
      </w:r>
      <w:r w:rsidRPr="00160DFE">
        <w:t>wydatk</w:t>
      </w:r>
      <w:r w:rsidR="003E7A50">
        <w:t>ach</w:t>
      </w:r>
      <w:r w:rsidRPr="00160DFE">
        <w:t xml:space="preserve">. Dwa </w:t>
      </w:r>
      <w:r w:rsidR="003E7A50">
        <w:t>z nich wykorzystują</w:t>
      </w:r>
      <w:r w:rsidRPr="00160DFE">
        <w:t xml:space="preserve"> wymagan</w:t>
      </w:r>
      <w:r w:rsidR="003E7A50">
        <w:t>e</w:t>
      </w:r>
      <w:r w:rsidRPr="00160DFE">
        <w:t xml:space="preserve"> wydatk</w:t>
      </w:r>
      <w:r w:rsidR="003E7A50">
        <w:t xml:space="preserve">i </w:t>
      </w:r>
      <w:r w:rsidRPr="00160DFE">
        <w:t>energetyczn</w:t>
      </w:r>
      <w:r w:rsidR="003E7A50">
        <w:t>e</w:t>
      </w:r>
      <w:r w:rsidRPr="00160DFE">
        <w:t xml:space="preserve"> (</w:t>
      </w:r>
      <w:r w:rsidR="003E7A50">
        <w:t>Wysokie Koszty, Niskie Dochody</w:t>
      </w:r>
      <w:r w:rsidRPr="00160DFE">
        <w:t xml:space="preserve"> i 22% udział wymaganych wydatków na energię w dochodzie), a jed</w:t>
      </w:r>
      <w:r w:rsidR="003E7A50">
        <w:t>en</w:t>
      </w:r>
      <w:r w:rsidRPr="00160DFE">
        <w:t xml:space="preserve"> faktyczn</w:t>
      </w:r>
      <w:r w:rsidR="003E7A50">
        <w:t>e</w:t>
      </w:r>
      <w:r w:rsidRPr="00160DFE">
        <w:t xml:space="preserve"> wydatk</w:t>
      </w:r>
      <w:r w:rsidR="003E7A50">
        <w:t>i</w:t>
      </w:r>
      <w:r w:rsidRPr="00160DFE">
        <w:t xml:space="preserve"> (</w:t>
      </w:r>
      <w:r w:rsidR="003E7A50">
        <w:t>Podwójna mediana</w:t>
      </w:r>
      <w:r w:rsidRPr="00160DFE">
        <w:t xml:space="preserve"> wydatków na energię). W związku z koniecznością </w:t>
      </w:r>
      <w:r w:rsidR="003E7A50">
        <w:t>wy</w:t>
      </w:r>
      <w:r w:rsidRPr="00160DFE">
        <w:t>korzystania</w:t>
      </w:r>
      <w:r w:rsidR="003E7A50">
        <w:t xml:space="preserve"> jako źródła danych</w:t>
      </w:r>
      <w:r w:rsidRPr="00160DFE">
        <w:t xml:space="preserve"> </w:t>
      </w:r>
      <w:r w:rsidR="003E7A50">
        <w:t>zarówno BBGD</w:t>
      </w:r>
      <w:r w:rsidRPr="00160DFE">
        <w:t xml:space="preserve">, jak i EU-SILC, </w:t>
      </w:r>
      <w:r w:rsidR="003E7A50">
        <w:t xml:space="preserve">interesariusze projektu zasugerowali ograniczenie liczby wskaźników do niezbędnego minimum. </w:t>
      </w:r>
    </w:p>
    <w:p w14:paraId="7667C0D4" w14:textId="2FE8BD61" w:rsidR="005B0797" w:rsidRPr="003E7A50" w:rsidRDefault="00160DFE" w:rsidP="006D30DB">
      <w:pPr>
        <w:pStyle w:val="Normal1"/>
      </w:pPr>
      <w:r w:rsidRPr="00160DFE">
        <w:t xml:space="preserve">Zaproponowaliśmy ograniczenie wskaźników do jednego opartego na wymaganych </w:t>
      </w:r>
      <w:r w:rsidR="00E3544E">
        <w:t xml:space="preserve">i jednego na hipotetycznych </w:t>
      </w:r>
      <w:r w:rsidRPr="00160DFE">
        <w:t xml:space="preserve">wydatkach energetycznych. </w:t>
      </w:r>
      <w:r w:rsidR="007101A3">
        <w:t>Odbiorcy projektu zgodzili</w:t>
      </w:r>
      <w:r w:rsidRPr="00160DFE">
        <w:t xml:space="preserve"> się na </w:t>
      </w:r>
      <w:r w:rsidR="007101A3">
        <w:t>proponowane rozwiązanie</w:t>
      </w:r>
      <w:r w:rsidRPr="00160DFE">
        <w:t xml:space="preserve"> i zaakceptowa</w:t>
      </w:r>
      <w:r w:rsidR="00E3544E">
        <w:t>li</w:t>
      </w:r>
      <w:r w:rsidRPr="00160DFE">
        <w:t xml:space="preserve"> sugestię wykorzystania</w:t>
      </w:r>
      <w:r w:rsidR="007101A3">
        <w:t xml:space="preserve"> wskaźnika</w:t>
      </w:r>
      <w:r w:rsidRPr="00160DFE">
        <w:t xml:space="preserve"> </w:t>
      </w:r>
      <w:r w:rsidR="007101A3">
        <w:t>Wysokie Koszty, Niskie Dochody</w:t>
      </w:r>
      <w:r w:rsidRPr="00160DFE">
        <w:t xml:space="preserve"> </w:t>
      </w:r>
      <w:r w:rsidR="007101A3">
        <w:t>oraz D</w:t>
      </w:r>
      <w:r w:rsidRPr="00160DFE">
        <w:t xml:space="preserve">wukrotnej </w:t>
      </w:r>
      <w:r w:rsidR="007101A3">
        <w:t>mediany wydatków na energię.</w:t>
      </w:r>
      <w:r w:rsidRPr="00160DFE">
        <w:t xml:space="preserve"> </w:t>
      </w:r>
      <w:r w:rsidR="00E3544E">
        <w:t>Wybór wskaźników wynika z ich</w:t>
      </w:r>
      <w:r w:rsidRPr="00160DFE">
        <w:t xml:space="preserve"> </w:t>
      </w:r>
      <w:r w:rsidR="00E3544E">
        <w:t>lepszej</w:t>
      </w:r>
      <w:r w:rsidRPr="00160DFE">
        <w:t xml:space="preserve"> jakoś</w:t>
      </w:r>
      <w:r w:rsidR="007101A3">
        <w:t>ci</w:t>
      </w:r>
      <w:r w:rsidR="00E3544E">
        <w:t xml:space="preserve">, </w:t>
      </w:r>
      <w:r w:rsidRPr="00160DFE">
        <w:t>dostępnoś</w:t>
      </w:r>
      <w:r w:rsidR="007101A3">
        <w:t>ci</w:t>
      </w:r>
      <w:r w:rsidRPr="00160DFE">
        <w:t xml:space="preserve"> danych i przydatnoś</w:t>
      </w:r>
      <w:r w:rsidR="007101A3">
        <w:t>ci</w:t>
      </w:r>
      <w:r w:rsidRPr="00160DFE">
        <w:t xml:space="preserve"> do planowania polityki</w:t>
      </w:r>
      <w:r w:rsidR="007101A3">
        <w:t xml:space="preserve"> wsparcia</w:t>
      </w:r>
      <w:r w:rsidRPr="00160DFE">
        <w:t>.</w:t>
      </w:r>
    </w:p>
    <w:p w14:paraId="47F9CF05" w14:textId="3AAFE948" w:rsidR="00BD4A0E" w:rsidRPr="007101A3" w:rsidRDefault="007101A3" w:rsidP="006D30DB">
      <w:pPr>
        <w:pStyle w:val="Nagwek2"/>
        <w:numPr>
          <w:ilvl w:val="1"/>
          <w:numId w:val="44"/>
        </w:numPr>
      </w:pPr>
      <w:bookmarkStart w:id="36" w:name="_Toc528189748"/>
      <w:r w:rsidRPr="007101A3">
        <w:t>Podsumowanie rekomendacji i wprowadzonych zmian</w:t>
      </w:r>
      <w:bookmarkEnd w:id="36"/>
    </w:p>
    <w:p w14:paraId="49C95E66" w14:textId="0EB5F29B" w:rsidR="007101A3" w:rsidRPr="007101A3" w:rsidRDefault="007101A3" w:rsidP="007101A3">
      <w:pPr>
        <w:pStyle w:val="Bullety"/>
      </w:pPr>
      <w:r w:rsidRPr="007101A3">
        <w:t xml:space="preserve">Ubóstwo energetyczne </w:t>
      </w:r>
      <w:r>
        <w:t>zostało</w:t>
      </w:r>
      <w:r w:rsidRPr="007101A3">
        <w:t xml:space="preserve"> zdefiniowane na trzech poziomach </w:t>
      </w:r>
      <w:r>
        <w:t>szczegółowości</w:t>
      </w:r>
      <w:r w:rsidRPr="007101A3">
        <w:t xml:space="preserve"> wraz z </w:t>
      </w:r>
      <w:r>
        <w:t>odpowiadającymi</w:t>
      </w:r>
      <w:r w:rsidRPr="007101A3">
        <w:t xml:space="preserve"> wskaźnikami</w:t>
      </w:r>
      <w:r w:rsidR="00E3544E">
        <w:t>;</w:t>
      </w:r>
    </w:p>
    <w:p w14:paraId="4D375196" w14:textId="478B91E3" w:rsidR="007101A3" w:rsidRPr="007101A3" w:rsidRDefault="007101A3" w:rsidP="007101A3">
      <w:pPr>
        <w:pStyle w:val="Bullety"/>
      </w:pPr>
      <w:r>
        <w:t>Wskaźniki</w:t>
      </w:r>
      <w:r w:rsidRPr="007101A3">
        <w:t xml:space="preserve"> op</w:t>
      </w:r>
      <w:r>
        <w:t>ierające się na własnej ocenie sytuacji gospodarstwa domowego bazujące na BBGD zostaną zastąpione odpowiadającymi wskaźnikami z EU-SILC</w:t>
      </w:r>
      <w:r w:rsidR="00E3544E">
        <w:t>;</w:t>
      </w:r>
    </w:p>
    <w:p w14:paraId="5E41BBDC" w14:textId="13CD8F49" w:rsidR="007101A3" w:rsidRPr="007101A3" w:rsidRDefault="007101A3" w:rsidP="007101A3">
      <w:pPr>
        <w:pStyle w:val="Bullety"/>
      </w:pPr>
      <w:r w:rsidRPr="007101A3">
        <w:t>Zestaw wskaźników zostanie zredukowany do jednej miary opartej na wymaganych wydatkach energetycznych (</w:t>
      </w:r>
      <w:r>
        <w:t>Wysokie Koszty, Niskie Dochody</w:t>
      </w:r>
      <w:r w:rsidRPr="007101A3">
        <w:t>) i jednej opartej na rzeczywistych wydatkach (</w:t>
      </w:r>
      <w:r>
        <w:t>Podwójna mediana</w:t>
      </w:r>
      <w:r w:rsidRPr="007101A3">
        <w:t xml:space="preserve"> wydatków na energię)</w:t>
      </w:r>
      <w:r w:rsidR="00A31350">
        <w:t>;</w:t>
      </w:r>
    </w:p>
    <w:p w14:paraId="1AD0D4FE" w14:textId="4FFEA694" w:rsidR="007101A3" w:rsidRPr="007101A3" w:rsidRDefault="007101A3" w:rsidP="007101A3">
      <w:pPr>
        <w:pStyle w:val="Bullety"/>
      </w:pPr>
      <w:r w:rsidRPr="007101A3">
        <w:t xml:space="preserve">Ostateczny zestaw wskaźników będzie zawierał 5 </w:t>
      </w:r>
      <w:r>
        <w:t>elementów</w:t>
      </w:r>
      <w:r w:rsidR="00A31350">
        <w:t>:</w:t>
      </w:r>
    </w:p>
    <w:p w14:paraId="5887E798" w14:textId="624B90D4" w:rsidR="007101A3" w:rsidRPr="007101A3" w:rsidRDefault="007101A3" w:rsidP="007101A3">
      <w:pPr>
        <w:pStyle w:val="Bullety2"/>
      </w:pPr>
      <w:r w:rsidRPr="007101A3">
        <w:t xml:space="preserve">2 </w:t>
      </w:r>
      <w:r>
        <w:t>wskaźniki oparte na</w:t>
      </w:r>
      <w:r w:rsidRPr="007101A3">
        <w:t xml:space="preserve"> dochod</w:t>
      </w:r>
      <w:r>
        <w:t>ach/</w:t>
      </w:r>
      <w:r w:rsidRPr="007101A3">
        <w:t>wydatk</w:t>
      </w:r>
      <w:r>
        <w:t>ach</w:t>
      </w:r>
      <w:r w:rsidRPr="007101A3">
        <w:t xml:space="preserve">: </w:t>
      </w:r>
      <w:r>
        <w:t>Wysokie Koszty, Niskie Dochody</w:t>
      </w:r>
      <w:r w:rsidRPr="007101A3">
        <w:t xml:space="preserve"> i </w:t>
      </w:r>
      <w:r>
        <w:t>Podwójna mediana</w:t>
      </w:r>
      <w:r w:rsidR="00A31350">
        <w:t xml:space="preserve"> wydatków na energię -</w:t>
      </w:r>
      <w:r w:rsidRPr="007101A3">
        <w:t xml:space="preserve"> na podstawie </w:t>
      </w:r>
      <w:r>
        <w:t>B</w:t>
      </w:r>
      <w:r w:rsidRPr="007101A3">
        <w:t xml:space="preserve">adania </w:t>
      </w:r>
      <w:r>
        <w:t>B</w:t>
      </w:r>
      <w:r w:rsidRPr="007101A3">
        <w:t>udżet</w:t>
      </w:r>
      <w:r>
        <w:t>ów</w:t>
      </w:r>
      <w:r w:rsidRPr="007101A3">
        <w:t xml:space="preserve"> </w:t>
      </w:r>
      <w:r>
        <w:t>Gospodarstw</w:t>
      </w:r>
      <w:r w:rsidRPr="007101A3">
        <w:t xml:space="preserve"> </w:t>
      </w:r>
      <w:r>
        <w:t>D</w:t>
      </w:r>
      <w:r w:rsidRPr="007101A3">
        <w:t>omow</w:t>
      </w:r>
      <w:r>
        <w:t>ych</w:t>
      </w:r>
      <w:r w:rsidR="00A31350">
        <w:t>;</w:t>
      </w:r>
    </w:p>
    <w:p w14:paraId="70CC8B75" w14:textId="049FC983" w:rsidR="007101A3" w:rsidRPr="007101A3" w:rsidRDefault="007101A3" w:rsidP="007101A3">
      <w:pPr>
        <w:pStyle w:val="Bullety2"/>
      </w:pPr>
      <w:r w:rsidRPr="007101A3">
        <w:t xml:space="preserve">3 wskaźniki </w:t>
      </w:r>
      <w:r>
        <w:t>oparte na własnej ocenie sytuacji gospodarstw domowych</w:t>
      </w:r>
      <w:r w:rsidRPr="007101A3">
        <w:t xml:space="preserve">: </w:t>
      </w:r>
      <w:r>
        <w:t>P</w:t>
      </w:r>
      <w:r w:rsidRPr="00DC12B1">
        <w:t>rzeciekający dach, zawilgocon</w:t>
      </w:r>
      <w:r>
        <w:t>e</w:t>
      </w:r>
      <w:r w:rsidRPr="00DC12B1">
        <w:t xml:space="preserve"> ścian</w:t>
      </w:r>
      <w:r>
        <w:t>y/</w:t>
      </w:r>
      <w:r w:rsidRPr="00DC12B1">
        <w:t>podłog</w:t>
      </w:r>
      <w:r>
        <w:t>i/</w:t>
      </w:r>
      <w:r w:rsidRPr="00DC12B1">
        <w:t>fundament</w:t>
      </w:r>
      <w:r>
        <w:t>y lub</w:t>
      </w:r>
      <w:r w:rsidRPr="00DC12B1">
        <w:t xml:space="preserve"> butwiejąc</w:t>
      </w:r>
      <w:r>
        <w:t>e okna</w:t>
      </w:r>
      <w:r w:rsidRPr="00DC12B1">
        <w:t xml:space="preserve"> lub podłog</w:t>
      </w:r>
      <w:r>
        <w:t>i</w:t>
      </w:r>
      <w:r w:rsidRPr="00BC6FBB">
        <w:t xml:space="preserve">, </w:t>
      </w:r>
      <w:r w:rsidR="009E5642">
        <w:t>Niew</w:t>
      </w:r>
      <w:r w:rsidRPr="00160DFE">
        <w:t>ystarczający komfort cieplny</w:t>
      </w:r>
      <w:r w:rsidRPr="00BC6FBB">
        <w:t xml:space="preserve">, </w:t>
      </w:r>
      <w:r w:rsidRPr="00160DFE">
        <w:t>Zaległości na rachunkach</w:t>
      </w:r>
      <w:r w:rsidR="00A31350">
        <w:t xml:space="preserve"> - </w:t>
      </w:r>
      <w:r>
        <w:t xml:space="preserve">na podstawie </w:t>
      </w:r>
      <w:r w:rsidRPr="007101A3">
        <w:t>EU-SILC</w:t>
      </w:r>
    </w:p>
    <w:p w14:paraId="202ED228" w14:textId="544898B3" w:rsidR="00C459A5" w:rsidRPr="007101A3" w:rsidRDefault="007101A3" w:rsidP="007101A3">
      <w:pPr>
        <w:pStyle w:val="Bullety"/>
      </w:pPr>
      <w:r w:rsidRPr="007101A3">
        <w:t>W celu usprawnienia procesu pomiaru i monitorowania ubóstwa energetycznego potrzebn</w:t>
      </w:r>
      <w:r w:rsidR="00A31350">
        <w:t>e</w:t>
      </w:r>
      <w:r w:rsidRPr="007101A3">
        <w:t xml:space="preserve"> jest </w:t>
      </w:r>
      <w:r>
        <w:t xml:space="preserve">opracowanie i </w:t>
      </w:r>
      <w:r w:rsidRPr="007101A3">
        <w:t xml:space="preserve">implementacja </w:t>
      </w:r>
      <w:r>
        <w:t>szczegółowego</w:t>
      </w:r>
      <w:r w:rsidRPr="007101A3">
        <w:t xml:space="preserve"> </w:t>
      </w:r>
      <w:r>
        <w:t>m</w:t>
      </w:r>
      <w:r w:rsidRPr="007101A3">
        <w:t xml:space="preserve">odelu </w:t>
      </w:r>
      <w:r>
        <w:t>zapotrzebowania na energię</w:t>
      </w:r>
      <w:r w:rsidRPr="007101A3">
        <w:t xml:space="preserve"> w Polsce, co powinno być kolejnym krokiem podję</w:t>
      </w:r>
      <w:r>
        <w:t>tym</w:t>
      </w:r>
      <w:r w:rsidRPr="007101A3">
        <w:t xml:space="preserve"> przez polską administrację.</w:t>
      </w:r>
    </w:p>
    <w:p w14:paraId="0721577F" w14:textId="2C4389CC" w:rsidR="0036279B" w:rsidRPr="005457BE" w:rsidRDefault="005457BE" w:rsidP="006D30DB">
      <w:pPr>
        <w:pStyle w:val="Nagwek1"/>
        <w:numPr>
          <w:ilvl w:val="0"/>
          <w:numId w:val="44"/>
        </w:numPr>
      </w:pPr>
      <w:bookmarkStart w:id="37" w:name="_Toc528189749"/>
      <w:bookmarkEnd w:id="30"/>
      <w:r>
        <w:t>Wnioski</w:t>
      </w:r>
      <w:bookmarkEnd w:id="37"/>
    </w:p>
    <w:p w14:paraId="6DFC8721" w14:textId="143D0DCB" w:rsidR="00F71205" w:rsidRPr="007101A3" w:rsidRDefault="007101A3" w:rsidP="006D30DB">
      <w:pPr>
        <w:pStyle w:val="Nagwek2"/>
        <w:numPr>
          <w:ilvl w:val="1"/>
          <w:numId w:val="44"/>
        </w:numPr>
        <w:spacing w:line="276" w:lineRule="auto"/>
        <w:rPr>
          <w:lang w:eastAsia="pl-PL"/>
        </w:rPr>
      </w:pPr>
      <w:bookmarkStart w:id="38" w:name="_Toc528189750"/>
      <w:r w:rsidRPr="007101A3">
        <w:rPr>
          <w:lang w:eastAsia="pl-PL"/>
        </w:rPr>
        <w:t>Zmiany w zestawie wskaźników ubóstwa energetycznego</w:t>
      </w:r>
      <w:bookmarkEnd w:id="38"/>
    </w:p>
    <w:p w14:paraId="5DFE2A07" w14:textId="5F371460" w:rsidR="00AA53F3" w:rsidRPr="007101A3" w:rsidRDefault="007101A3" w:rsidP="007C55E8">
      <w:pPr>
        <w:pStyle w:val="Bullety"/>
        <w:numPr>
          <w:ilvl w:val="0"/>
          <w:numId w:val="0"/>
        </w:numPr>
      </w:pPr>
      <w:r w:rsidRPr="007101A3">
        <w:t xml:space="preserve">Proponujemy następujące zmiany w ostatecznym zestawie wskaźników opisanym w Produkcie 2b </w:t>
      </w:r>
      <w:r w:rsidRPr="007101A3">
        <w:rPr>
          <w:i/>
        </w:rPr>
        <w:t>Ocena jakości danych i wskaźników ubóstwa energetycznego</w:t>
      </w:r>
      <w:r>
        <w:t>:</w:t>
      </w:r>
    </w:p>
    <w:p w14:paraId="7F9AD6FE" w14:textId="66D71B1E" w:rsidR="009E5642" w:rsidRPr="00BC6FBB" w:rsidRDefault="009E5642" w:rsidP="007C55E8">
      <w:pPr>
        <w:pStyle w:val="Bullety"/>
      </w:pPr>
      <w:r>
        <w:t>Wskaźniki opierające się na własnej ocenie sytuacji gospodarstw domowych, bazujące na Badaniu Budżetów Gospodarstw Domowych powinny zostać zamienione na korespondujące wskaźniki z EU-SILC;</w:t>
      </w:r>
    </w:p>
    <w:p w14:paraId="65383A2B" w14:textId="40EACB28" w:rsidR="009E5642" w:rsidRPr="009E5642" w:rsidRDefault="009E5642" w:rsidP="00F71205">
      <w:pPr>
        <w:pStyle w:val="Bullety"/>
      </w:pPr>
      <w:r w:rsidRPr="009E5642">
        <w:t xml:space="preserve">Ukryte Ubóstwo Energetyczne </w:t>
      </w:r>
      <w:r w:rsidR="00A31350">
        <w:t xml:space="preserve">i Udział wymaganych wydatków energetycznych w dochodzie </w:t>
      </w:r>
      <w:r w:rsidRPr="009E5642">
        <w:t xml:space="preserve">powinno być wyłączone z zestawu </w:t>
      </w:r>
      <w:r>
        <w:t>wskaźników</w:t>
      </w:r>
      <w:r w:rsidR="00A31350">
        <w:t>.</w:t>
      </w:r>
    </w:p>
    <w:p w14:paraId="26898B85" w14:textId="68A6B89C" w:rsidR="009E5642" w:rsidRPr="009E5642" w:rsidRDefault="00A31350" w:rsidP="009E5642">
      <w:pPr>
        <w:pStyle w:val="Bullety"/>
        <w:numPr>
          <w:ilvl w:val="0"/>
          <w:numId w:val="0"/>
        </w:numPr>
      </w:pPr>
      <w:r>
        <w:t>R</w:t>
      </w:r>
      <w:r w:rsidR="009E5642" w:rsidRPr="009E5642">
        <w:t>ekomendujemy używanie pięciu wskaźników opierających się na dwóch bazach danych</w:t>
      </w:r>
      <w:r>
        <w:t>:</w:t>
      </w:r>
      <w:r w:rsidR="009E5642" w:rsidRPr="009E5642">
        <w:t xml:space="preserve"> Badani</w:t>
      </w:r>
      <w:r>
        <w:t>u</w:t>
      </w:r>
      <w:r w:rsidR="009E5642" w:rsidRPr="009E5642">
        <w:t xml:space="preserve"> Budżetów Gospodarstw Domowych (BBGD) i EU Statistics on Income and Living Conditions (EU-SILC):</w:t>
      </w:r>
    </w:p>
    <w:p w14:paraId="54AFFCB7" w14:textId="045C3FAF" w:rsidR="00AC22B6" w:rsidRPr="009E5642" w:rsidRDefault="009E5642" w:rsidP="00AC22B6">
      <w:pPr>
        <w:pStyle w:val="Bullety"/>
      </w:pPr>
      <w:r w:rsidRPr="009E5642">
        <w:t>Wysokie Koszty, Niskie Dochody</w:t>
      </w:r>
      <w:r w:rsidR="00AD0A3A" w:rsidRPr="009E5642">
        <w:t xml:space="preserve"> (</w:t>
      </w:r>
      <w:r w:rsidRPr="009E5642">
        <w:t>BBGD</w:t>
      </w:r>
      <w:r w:rsidR="00AD0A3A" w:rsidRPr="009E5642">
        <w:t>)</w:t>
      </w:r>
    </w:p>
    <w:p w14:paraId="65D6CE3C" w14:textId="7774A84A" w:rsidR="00D30593" w:rsidRPr="009E5642" w:rsidRDefault="009E5642" w:rsidP="00AC22B6">
      <w:pPr>
        <w:pStyle w:val="Bullety"/>
      </w:pPr>
      <w:r>
        <w:t>Podwójna mediana</w:t>
      </w:r>
      <w:r w:rsidRPr="007101A3">
        <w:t xml:space="preserve"> wydatków na energię</w:t>
      </w:r>
      <w:r w:rsidR="00D30593" w:rsidRPr="009E5642">
        <w:t xml:space="preserve"> </w:t>
      </w:r>
      <w:r w:rsidR="00AD0A3A" w:rsidRPr="009E5642">
        <w:t>(</w:t>
      </w:r>
      <w:r>
        <w:t>BBGD</w:t>
      </w:r>
      <w:r w:rsidR="00AD0A3A" w:rsidRPr="009E5642">
        <w:t>)</w:t>
      </w:r>
    </w:p>
    <w:p w14:paraId="3A1CA1FA" w14:textId="68F56FFF" w:rsidR="00AC22B6" w:rsidRPr="009E5642" w:rsidRDefault="009E5642" w:rsidP="00AC22B6">
      <w:pPr>
        <w:pStyle w:val="Bullety"/>
      </w:pPr>
      <w:r w:rsidRPr="00160DFE">
        <w:t>Zaległości na rachunkach</w:t>
      </w:r>
      <w:r w:rsidRPr="009E5642">
        <w:t xml:space="preserve"> </w:t>
      </w:r>
      <w:r w:rsidR="00AC22B6" w:rsidRPr="009E5642">
        <w:t>(EU-SILC)</w:t>
      </w:r>
    </w:p>
    <w:p w14:paraId="777ECD48" w14:textId="2D5E5972" w:rsidR="00AC22B6" w:rsidRPr="009E5642" w:rsidRDefault="009E5642" w:rsidP="00AC22B6">
      <w:pPr>
        <w:pStyle w:val="Bullety"/>
      </w:pPr>
      <w:r>
        <w:t>P</w:t>
      </w:r>
      <w:r w:rsidRPr="00DC12B1">
        <w:t>rzeciekający dach, zawilgocon</w:t>
      </w:r>
      <w:r>
        <w:t>e</w:t>
      </w:r>
      <w:r w:rsidRPr="00DC12B1">
        <w:t xml:space="preserve"> ścian</w:t>
      </w:r>
      <w:r>
        <w:t>y/</w:t>
      </w:r>
      <w:r w:rsidRPr="00DC12B1">
        <w:t>podłog</w:t>
      </w:r>
      <w:r>
        <w:t>i/</w:t>
      </w:r>
      <w:r w:rsidRPr="00DC12B1">
        <w:t>fundament</w:t>
      </w:r>
      <w:r>
        <w:t>y lub</w:t>
      </w:r>
      <w:r w:rsidRPr="00DC12B1">
        <w:t xml:space="preserve"> butwiejąc</w:t>
      </w:r>
      <w:r>
        <w:t>e okna</w:t>
      </w:r>
      <w:r w:rsidRPr="00DC12B1">
        <w:t xml:space="preserve"> lub podłog</w:t>
      </w:r>
      <w:r>
        <w:t>i</w:t>
      </w:r>
      <w:r w:rsidR="00AD0A3A" w:rsidRPr="009E5642">
        <w:t xml:space="preserve"> (EU-SILC)</w:t>
      </w:r>
    </w:p>
    <w:p w14:paraId="6C0C4D41" w14:textId="70933FA8" w:rsidR="00AC22B6" w:rsidRPr="009E5642" w:rsidRDefault="009E5642" w:rsidP="00F71205">
      <w:pPr>
        <w:pStyle w:val="Bullety"/>
      </w:pPr>
      <w:r>
        <w:t>Niew</w:t>
      </w:r>
      <w:r w:rsidRPr="00160DFE">
        <w:t>ystarczający komfort cieplny</w:t>
      </w:r>
      <w:r w:rsidR="00AD0A3A" w:rsidRPr="009E5642">
        <w:t xml:space="preserve"> (EU-SILC)</w:t>
      </w:r>
    </w:p>
    <w:p w14:paraId="7E7C9D5B" w14:textId="61AD9AA6" w:rsidR="006E164E" w:rsidRPr="00914E2B" w:rsidRDefault="00914E2B" w:rsidP="006D30DB">
      <w:pPr>
        <w:pStyle w:val="Nagwek2"/>
        <w:numPr>
          <w:ilvl w:val="1"/>
          <w:numId w:val="44"/>
        </w:numPr>
        <w:spacing w:line="276" w:lineRule="auto"/>
        <w:rPr>
          <w:lang w:eastAsia="pl-PL"/>
        </w:rPr>
      </w:pPr>
      <w:bookmarkStart w:id="39" w:name="_Toc528189751"/>
      <w:r w:rsidRPr="00914E2B">
        <w:rPr>
          <w:lang w:eastAsia="pl-PL"/>
        </w:rPr>
        <w:t xml:space="preserve">Definicja </w:t>
      </w:r>
      <w:r>
        <w:rPr>
          <w:lang w:eastAsia="pl-PL"/>
        </w:rPr>
        <w:t>i wskaźniki ubóstwa energetycznego w Polsce</w:t>
      </w:r>
      <w:bookmarkEnd w:id="39"/>
    </w:p>
    <w:p w14:paraId="7AEF3624" w14:textId="21C31F02" w:rsidR="008D6DA7" w:rsidRPr="00C7043D" w:rsidRDefault="00C7043D" w:rsidP="006D30DB">
      <w:pPr>
        <w:pStyle w:val="Nagwek3"/>
        <w:numPr>
          <w:ilvl w:val="2"/>
          <w:numId w:val="44"/>
        </w:numPr>
      </w:pPr>
      <w:r w:rsidRPr="00C7043D">
        <w:t>Ogólna definicja</w:t>
      </w:r>
    </w:p>
    <w:p w14:paraId="4DA833B2" w14:textId="61093F27" w:rsidR="008D6DA7" w:rsidRPr="00C7043D" w:rsidRDefault="00C7043D" w:rsidP="00C7043D">
      <w:pPr>
        <w:pStyle w:val="Bullety"/>
        <w:numPr>
          <w:ilvl w:val="0"/>
          <w:numId w:val="0"/>
        </w:numPr>
      </w:pPr>
      <w:r w:rsidRPr="005B5915">
        <w:t xml:space="preserve">Ubóstwo energetyczne występuje wtedy, gdy gospodarstwo domowe nie jest w stanie </w:t>
      </w:r>
      <w:r>
        <w:t>zapewnić</w:t>
      </w:r>
      <w:r w:rsidRPr="005B5915">
        <w:t xml:space="preserve"> sobie wystarczające</w:t>
      </w:r>
      <w:r>
        <w:t>go</w:t>
      </w:r>
      <w:r w:rsidRPr="005B5915">
        <w:t xml:space="preserve"> </w:t>
      </w:r>
      <w:r>
        <w:t xml:space="preserve">poziomu </w:t>
      </w:r>
      <w:r w:rsidRPr="005B5915">
        <w:t>ciepł</w:t>
      </w:r>
      <w:r>
        <w:t>a</w:t>
      </w:r>
      <w:r w:rsidRPr="005B5915">
        <w:t>, chłod</w:t>
      </w:r>
      <w:r>
        <w:t>u</w:t>
      </w:r>
      <w:r w:rsidRPr="005B5915">
        <w:t>, oświetl</w:t>
      </w:r>
      <w:r>
        <w:t>ania</w:t>
      </w:r>
      <w:r w:rsidRPr="005B5915">
        <w:t xml:space="preserve"> i energi</w:t>
      </w:r>
      <w:r>
        <w:t>i</w:t>
      </w:r>
      <w:r w:rsidRPr="005B5915">
        <w:t xml:space="preserve"> do zasilania urządzeń</w:t>
      </w:r>
      <w:r>
        <w:t xml:space="preserve">, w wyniku </w:t>
      </w:r>
      <w:r w:rsidRPr="005B5915">
        <w:t>połączeni</w:t>
      </w:r>
      <w:r>
        <w:t>a</w:t>
      </w:r>
      <w:r w:rsidRPr="005B5915">
        <w:t xml:space="preserve"> niskich dochodów, wysokich wydatków energetycznych i niskiej efektywności energetycznej w dom</w:t>
      </w:r>
      <w:r>
        <w:t>u</w:t>
      </w:r>
      <w:r w:rsidRPr="005B5915">
        <w:t>.</w:t>
      </w:r>
    </w:p>
    <w:p w14:paraId="4F56339E" w14:textId="6BCE3AF5" w:rsidR="00C7043D" w:rsidRPr="005B5915" w:rsidRDefault="000F1A1D" w:rsidP="00C7043D">
      <w:pPr>
        <w:pStyle w:val="Bullety"/>
        <w:numPr>
          <w:ilvl w:val="0"/>
          <w:numId w:val="0"/>
        </w:numPr>
        <w:jc w:val="left"/>
        <w:rPr>
          <w:b/>
        </w:rPr>
      </w:pPr>
      <w:r>
        <w:rPr>
          <w:b/>
        </w:rPr>
        <w:t>Rekomendowane w</w:t>
      </w:r>
      <w:r w:rsidR="00C7043D" w:rsidRPr="005B5915">
        <w:rPr>
          <w:b/>
        </w:rPr>
        <w:t>skaźniki</w:t>
      </w:r>
    </w:p>
    <w:p w14:paraId="39070E77" w14:textId="0A67EDA2" w:rsidR="00C7043D" w:rsidRPr="005B5915" w:rsidRDefault="00C7043D" w:rsidP="00C7043D">
      <w:pPr>
        <w:pStyle w:val="Bullety"/>
      </w:pPr>
      <w:r w:rsidRPr="005B5915">
        <w:t>Wysokie Koszty, Niskie Dochody</w:t>
      </w:r>
      <w:r w:rsidR="000F1A1D">
        <w:t xml:space="preserve"> (BBGD)</w:t>
      </w:r>
    </w:p>
    <w:p w14:paraId="0D0A1E59" w14:textId="48B4351E" w:rsidR="008D6DA7" w:rsidRPr="000F1A1D" w:rsidRDefault="00C7043D" w:rsidP="000F1A1D">
      <w:pPr>
        <w:pStyle w:val="Bullety"/>
      </w:pPr>
      <w:r w:rsidRPr="005B5915">
        <w:t>Niewystarczający komfort cieplny</w:t>
      </w:r>
      <w:r w:rsidR="000F1A1D">
        <w:t xml:space="preserve"> </w:t>
      </w:r>
      <w:r w:rsidR="000F1A1D" w:rsidRPr="00BC6FBB">
        <w:t>(EU-SILC)</w:t>
      </w:r>
    </w:p>
    <w:p w14:paraId="46CC8B28" w14:textId="789D8C14" w:rsidR="008D6DA7" w:rsidRPr="00793D8A" w:rsidRDefault="00793D8A" w:rsidP="006D30DB">
      <w:pPr>
        <w:pStyle w:val="Nagwek3"/>
        <w:numPr>
          <w:ilvl w:val="2"/>
          <w:numId w:val="44"/>
        </w:numPr>
      </w:pPr>
      <w:r w:rsidRPr="00793D8A">
        <w:t>Definicja szczegółowa</w:t>
      </w:r>
    </w:p>
    <w:p w14:paraId="300353A0" w14:textId="23D91603" w:rsidR="008D6DA7" w:rsidRPr="00BC6FBB" w:rsidRDefault="00793D8A" w:rsidP="008D6DA7">
      <w:pPr>
        <w:pStyle w:val="Bullety"/>
        <w:numPr>
          <w:ilvl w:val="0"/>
          <w:numId w:val="0"/>
        </w:numPr>
      </w:pPr>
      <w:r w:rsidRPr="005B5915">
        <w:t>Ubóstwo energetyczne występuje wtedy, gdy gospodarstwo domowe nie jest w stanie zapewnić sobie wystarczającego poziomu ciepła, chłodu, oświetlania i energii do zasilania urządzeń, w wyniku połączenia niskich dochodów, wysokich wydatków energetycznych i niskiej efektywności energetycznej w domu.</w:t>
      </w:r>
      <w:r>
        <w:t xml:space="preserve"> </w:t>
      </w:r>
      <w:r w:rsidRPr="00032AD0">
        <w:t xml:space="preserve">Aby gospodarstwo domowe zostało sklasyfikowane jako ubogie energetycznie, musi jednocześnie spełniać dwa kryteria: wysokie </w:t>
      </w:r>
      <w:r w:rsidR="00C73A28">
        <w:t>hipotetyczne</w:t>
      </w:r>
      <w:r w:rsidRPr="00032AD0">
        <w:t xml:space="preserve"> koszty energii (powyżej mediany poziomu krajowego) i niskie dochody (</w:t>
      </w:r>
      <w:r>
        <w:t xml:space="preserve">rozporządzalny </w:t>
      </w:r>
      <w:r w:rsidRPr="00032AD0">
        <w:t xml:space="preserve">dochód </w:t>
      </w:r>
      <w:r>
        <w:t>p</w:t>
      </w:r>
      <w:r w:rsidRPr="00032AD0">
        <w:t xml:space="preserve">oniżej </w:t>
      </w:r>
      <w:r>
        <w:t>oficjalnie określonego</w:t>
      </w:r>
      <w:r w:rsidRPr="00032AD0">
        <w:t xml:space="preserve"> </w:t>
      </w:r>
      <w:r>
        <w:t xml:space="preserve">progu </w:t>
      </w:r>
      <w:r w:rsidRPr="00032AD0">
        <w:t>ubóstwa).</w:t>
      </w:r>
    </w:p>
    <w:p w14:paraId="0AABEFA7" w14:textId="7CA8F6C2" w:rsidR="008D6DA7" w:rsidRPr="00A04084" w:rsidRDefault="00793D8A" w:rsidP="008D6DA7">
      <w:pPr>
        <w:pStyle w:val="Bullety"/>
        <w:numPr>
          <w:ilvl w:val="0"/>
          <w:numId w:val="0"/>
        </w:numPr>
        <w:rPr>
          <w:b/>
          <w:lang w:val="en-GB"/>
        </w:rPr>
      </w:pPr>
      <w:r>
        <w:rPr>
          <w:b/>
        </w:rPr>
        <w:t>Rekomendowane w</w:t>
      </w:r>
      <w:r w:rsidRPr="005B5915">
        <w:rPr>
          <w:b/>
        </w:rPr>
        <w:t>skaźniki</w:t>
      </w:r>
    </w:p>
    <w:p w14:paraId="73E18638" w14:textId="7568A539" w:rsidR="00793D8A" w:rsidRPr="005B5915" w:rsidRDefault="00793D8A" w:rsidP="00793D8A">
      <w:pPr>
        <w:pStyle w:val="Bullety"/>
      </w:pPr>
      <w:r w:rsidRPr="005B5915">
        <w:t>Wysokie Koszty, Niskie Dochody</w:t>
      </w:r>
      <w:r w:rsidRPr="00BC6FBB">
        <w:t xml:space="preserve"> (BBGD)</w:t>
      </w:r>
    </w:p>
    <w:p w14:paraId="2DE71120" w14:textId="4A9769A0" w:rsidR="00793D8A" w:rsidRPr="005B5915" w:rsidRDefault="00793D8A" w:rsidP="00793D8A">
      <w:pPr>
        <w:pStyle w:val="Bullety"/>
      </w:pPr>
      <w:r w:rsidRPr="005B5915">
        <w:t>Niewystarczający komfort cieplny</w:t>
      </w:r>
      <w:r>
        <w:t xml:space="preserve"> (EU-SILC)</w:t>
      </w:r>
    </w:p>
    <w:p w14:paraId="1488B8FE" w14:textId="2DBC0AF3" w:rsidR="00793D8A" w:rsidRPr="00AC6A1A" w:rsidRDefault="00793D8A" w:rsidP="00793D8A">
      <w:pPr>
        <w:pStyle w:val="Bullety"/>
      </w:pPr>
      <w:r w:rsidRPr="00AC6A1A">
        <w:t>Podwójna mediana wydatków na energię</w:t>
      </w:r>
      <w:r>
        <w:t xml:space="preserve"> (BBGD)</w:t>
      </w:r>
    </w:p>
    <w:p w14:paraId="22369623" w14:textId="21FCCE5E" w:rsidR="008D6DA7" w:rsidRPr="00793D8A" w:rsidRDefault="00793D8A" w:rsidP="00793D8A">
      <w:pPr>
        <w:pStyle w:val="Bullety"/>
      </w:pPr>
      <w:r w:rsidRPr="003748D5">
        <w:t>Budynek z przeciekającym dachem, zawilgoconymi ścianami, podłogami, fundamentami, butwiejącymi oknami lub podłogami</w:t>
      </w:r>
      <w:r>
        <w:t xml:space="preserve"> (EU-SILC)</w:t>
      </w:r>
    </w:p>
    <w:p w14:paraId="61E89F62" w14:textId="234AACC4" w:rsidR="008D6DA7" w:rsidRPr="00793D8A" w:rsidRDefault="00793D8A" w:rsidP="006D30DB">
      <w:pPr>
        <w:pStyle w:val="Nagwek3"/>
        <w:numPr>
          <w:ilvl w:val="2"/>
          <w:numId w:val="44"/>
        </w:numPr>
      </w:pPr>
      <w:r w:rsidRPr="00793D8A">
        <w:t>Definicja ekstensywna</w:t>
      </w:r>
    </w:p>
    <w:p w14:paraId="34374F37" w14:textId="0D1EDECD" w:rsidR="008D6DA7" w:rsidRPr="00BC6FBB" w:rsidRDefault="00793D8A" w:rsidP="008D6DA7">
      <w:pPr>
        <w:pStyle w:val="Normal1"/>
      </w:pPr>
      <w:r w:rsidRPr="003748D5">
        <w:t xml:space="preserve">Ubóstwo energetyczne występuje wtedy, gdy gospodarstwo domowe nie jest w stanie zapewnić sobie wystarczającego poziomu ciepła, chłodu, oświetlania i energii do zasilania urządzeń, w wyniku połączenia niskich dochodów, wysokich wydatków energetycznych i niskiej efektywności energetycznej w domu. Aby gospodarstwo domowe zostało sklasyfikowane jako ubogie energetycznie, musi jednocześnie spełniać dwa kryteria: wysokie </w:t>
      </w:r>
      <w:r w:rsidR="00C73A28">
        <w:t>hipotetyczne</w:t>
      </w:r>
      <w:r w:rsidRPr="003748D5">
        <w:t xml:space="preserve"> koszty energii (powyżej mediany poziomu krajowego) i niskie dochody (rozporządzalny dochód poniżej oficjalnie określonego progu ubóstwa).</w:t>
      </w:r>
      <w:r>
        <w:t xml:space="preserve"> </w:t>
      </w:r>
      <w:r w:rsidRPr="003748D5">
        <w:t>Poziom dotkliwości ubóstwa, jest dodatkowo mierzony przez wskaźniki oparte na samoocenie, dotyczące możliwości finansowych gospodarstwa domowego (zdolność do terminowego płacenia rachunków) tkanki mieszkaniowej (przeciekający dach, okna, wilgoć w ścianach i podłogach), oraz przez subiektywny komfort cieplny.</w:t>
      </w:r>
    </w:p>
    <w:p w14:paraId="48E6B7F0" w14:textId="0DF78F4C" w:rsidR="008D6DA7" w:rsidRPr="00A04084" w:rsidRDefault="00793D8A" w:rsidP="008D6DA7">
      <w:pPr>
        <w:pStyle w:val="Normal1"/>
        <w:rPr>
          <w:b/>
          <w:lang w:val="en-GB"/>
        </w:rPr>
      </w:pPr>
      <w:r>
        <w:rPr>
          <w:b/>
        </w:rPr>
        <w:t>Rekomendowane w</w:t>
      </w:r>
      <w:r w:rsidRPr="005B5915">
        <w:rPr>
          <w:b/>
        </w:rPr>
        <w:t>skaźniki</w:t>
      </w:r>
    </w:p>
    <w:p w14:paraId="51AE6A71" w14:textId="77777777" w:rsidR="00793D8A" w:rsidRPr="005B5915" w:rsidRDefault="00793D8A" w:rsidP="00793D8A">
      <w:pPr>
        <w:pStyle w:val="Bullety"/>
      </w:pPr>
      <w:r w:rsidRPr="005B5915">
        <w:t>Wysokie Koszty, Niskie Dochody</w:t>
      </w:r>
      <w:r w:rsidRPr="00BC6FBB">
        <w:t xml:space="preserve"> (BBGD)</w:t>
      </w:r>
    </w:p>
    <w:p w14:paraId="2B36529C" w14:textId="77777777" w:rsidR="00793D8A" w:rsidRPr="005B5915" w:rsidRDefault="00793D8A" w:rsidP="00793D8A">
      <w:pPr>
        <w:pStyle w:val="Bullety"/>
      </w:pPr>
      <w:r w:rsidRPr="005B5915">
        <w:t>Niewystarczający komfort cieplny</w:t>
      </w:r>
      <w:r>
        <w:t xml:space="preserve"> (EU-SILC)</w:t>
      </w:r>
    </w:p>
    <w:p w14:paraId="5E0BF12E" w14:textId="77777777" w:rsidR="00793D8A" w:rsidRPr="00AC6A1A" w:rsidRDefault="00793D8A" w:rsidP="00793D8A">
      <w:pPr>
        <w:pStyle w:val="Bullety"/>
      </w:pPr>
      <w:r w:rsidRPr="00AC6A1A">
        <w:t>Podwójna mediana wydatków na energię</w:t>
      </w:r>
      <w:r>
        <w:t xml:space="preserve"> (BBGD)</w:t>
      </w:r>
    </w:p>
    <w:p w14:paraId="0B3048A2" w14:textId="77777777" w:rsidR="00793D8A" w:rsidRPr="00793D8A" w:rsidRDefault="00793D8A" w:rsidP="00793D8A">
      <w:pPr>
        <w:pStyle w:val="Bullety"/>
      </w:pPr>
      <w:r w:rsidRPr="003748D5">
        <w:t>Budynek z przeciekającym dachem, zawilgoconymi ścianami, podłogami, fundamentami, butwiejącymi oknami lub podłogami</w:t>
      </w:r>
      <w:r>
        <w:t xml:space="preserve"> (EU-SILC)</w:t>
      </w:r>
    </w:p>
    <w:p w14:paraId="682DEA47" w14:textId="18FFD5D9" w:rsidR="00C459A5" w:rsidRPr="00BC6FBB" w:rsidRDefault="00793D8A">
      <w:pPr>
        <w:pStyle w:val="Bullety"/>
      </w:pPr>
      <w:r w:rsidRPr="00793D8A">
        <w:t>Zaległości na rachunkach</w:t>
      </w:r>
      <w:r w:rsidR="008D6DA7" w:rsidRPr="00793D8A">
        <w:t xml:space="preserve"> </w:t>
      </w:r>
      <w:r w:rsidR="008D6DA7" w:rsidRPr="00BC6FBB">
        <w:t>(EU-SILC)</w:t>
      </w:r>
    </w:p>
    <w:p w14:paraId="4007881E" w14:textId="6169F617" w:rsidR="00C459A5" w:rsidRPr="009E5642" w:rsidRDefault="009E5642" w:rsidP="006D30DB">
      <w:pPr>
        <w:pStyle w:val="Nagwek2"/>
        <w:numPr>
          <w:ilvl w:val="1"/>
          <w:numId w:val="44"/>
        </w:numPr>
      </w:pPr>
      <w:bookmarkStart w:id="40" w:name="_Toc528189752"/>
      <w:r w:rsidRPr="009E5642">
        <w:t>Dodatkowe rekomendacje</w:t>
      </w:r>
      <w:bookmarkEnd w:id="40"/>
    </w:p>
    <w:p w14:paraId="3963E11D" w14:textId="0C9D69B0" w:rsidR="009E5642" w:rsidRPr="009E5642" w:rsidRDefault="009E5642" w:rsidP="009E5642">
      <w:pPr>
        <w:pStyle w:val="Bullety"/>
        <w:numPr>
          <w:ilvl w:val="0"/>
          <w:numId w:val="0"/>
        </w:numPr>
      </w:pPr>
      <w:r w:rsidRPr="009E5642">
        <w:t>W celu zapewnienia właściwego pomiaru i monitorowania ubóstwa energetycznego w Polsce zalecamy</w:t>
      </w:r>
      <w:r>
        <w:t xml:space="preserve"> stworzenie</w:t>
      </w:r>
      <w:r w:rsidRPr="009E5642">
        <w:t xml:space="preserve"> </w:t>
      </w:r>
      <w:r>
        <w:t>m</w:t>
      </w:r>
      <w:r w:rsidRPr="007101A3">
        <w:t xml:space="preserve">odelu </w:t>
      </w:r>
      <w:r>
        <w:t>zapotrzebowania na energię</w:t>
      </w:r>
      <w:r w:rsidRPr="007101A3">
        <w:t xml:space="preserve"> w Polsce</w:t>
      </w:r>
      <w:r w:rsidRPr="009E5642">
        <w:t xml:space="preserve"> z</w:t>
      </w:r>
      <w:r>
        <w:t>godnego z</w:t>
      </w:r>
      <w:r w:rsidRPr="009E5642">
        <w:t xml:space="preserve"> metodologią podobną do </w:t>
      </w:r>
      <w:r>
        <w:t xml:space="preserve">modelu </w:t>
      </w:r>
      <w:r w:rsidRPr="009E5642">
        <w:t xml:space="preserve">BREDEM w Wielkiej Brytanii. Model pomaga oszacować zużycie energii w </w:t>
      </w:r>
      <w:r>
        <w:t>budynk</w:t>
      </w:r>
      <w:r w:rsidR="00A31350">
        <w:t>ach</w:t>
      </w:r>
      <w:r w:rsidRPr="009E5642">
        <w:t xml:space="preserve"> w </w:t>
      </w:r>
      <w:r>
        <w:t xml:space="preserve">oparciu o </w:t>
      </w:r>
      <w:r w:rsidR="00A31350">
        <w:t>ich</w:t>
      </w:r>
      <w:r>
        <w:t xml:space="preserve"> charakterystykę i pozawala na o</w:t>
      </w:r>
      <w:r w:rsidRPr="009E5642">
        <w:t>szac</w:t>
      </w:r>
      <w:r>
        <w:t>o</w:t>
      </w:r>
      <w:r w:rsidRPr="009E5642">
        <w:t>w</w:t>
      </w:r>
      <w:r>
        <w:t>ani</w:t>
      </w:r>
      <w:r w:rsidRPr="009E5642">
        <w:t>e zapot</w:t>
      </w:r>
      <w:r w:rsidR="005D29A6">
        <w:t>rzebowani</w:t>
      </w:r>
      <w:r w:rsidR="00A31350">
        <w:t>a</w:t>
      </w:r>
      <w:r w:rsidR="005D29A6">
        <w:t xml:space="preserve"> na energię, </w:t>
      </w:r>
      <w:r w:rsidRPr="009E5642">
        <w:t>koszt</w:t>
      </w:r>
      <w:r w:rsidR="005D29A6">
        <w:t>ów</w:t>
      </w:r>
      <w:r w:rsidRPr="009E5642">
        <w:t xml:space="preserve"> energii </w:t>
      </w:r>
      <w:r w:rsidR="00A31350">
        <w:t>oraz</w:t>
      </w:r>
      <w:r w:rsidRPr="009E5642">
        <w:t xml:space="preserve"> emisj</w:t>
      </w:r>
      <w:r w:rsidR="005D29A6">
        <w:t>i</w:t>
      </w:r>
      <w:r w:rsidRPr="009E5642">
        <w:t xml:space="preserve"> CO</w:t>
      </w:r>
      <w:r w:rsidRPr="005D29A6">
        <w:rPr>
          <w:vertAlign w:val="subscript"/>
        </w:rPr>
        <w:t>2</w:t>
      </w:r>
      <w:r w:rsidRPr="009E5642">
        <w:t xml:space="preserve"> (Henderson i Hart</w:t>
      </w:r>
      <w:r w:rsidR="005D29A6">
        <w:t>,</w:t>
      </w:r>
      <w:r w:rsidRPr="009E5642">
        <w:t xml:space="preserve"> 2015).</w:t>
      </w:r>
      <w:r w:rsidR="00CD1194">
        <w:t xml:space="preserve"> Należy podkreślić, że najlepsze metody pomiaru ubóstwa energetycznego opierają się na odpowiednio modelowanych wydatkach hipotetycznych, które są niezbędne do właściwej identyfikacji ubogich energetycznie gospodarstw domowych.</w:t>
      </w:r>
    </w:p>
    <w:p w14:paraId="0C906E71" w14:textId="03F1A09B" w:rsidR="009E5642" w:rsidRDefault="009E5642" w:rsidP="009E5642">
      <w:pPr>
        <w:pStyle w:val="Bullety"/>
        <w:numPr>
          <w:ilvl w:val="0"/>
          <w:numId w:val="0"/>
        </w:numPr>
        <w:rPr>
          <w:lang w:val="en-GB"/>
        </w:rPr>
      </w:pPr>
      <w:r w:rsidRPr="009E5642">
        <w:t xml:space="preserve">Model zwiększyłby dokładność identyfikacji </w:t>
      </w:r>
      <w:r w:rsidR="00A31350" w:rsidRPr="009E5642">
        <w:t xml:space="preserve">gospodarstw domowych </w:t>
      </w:r>
      <w:r w:rsidRPr="009E5642">
        <w:t>ubogich energetycznie i mógłby pomóc w oszacowaniu związku między ubóstwem energetycznym a zanieczyszczeniem powietrza. Zalecamy rozpoczęcie procesu opracowywania modelu w 2019 roku.</w:t>
      </w:r>
    </w:p>
    <w:p w14:paraId="3F800F04" w14:textId="5BC6D0DA" w:rsidR="000D082D" w:rsidRPr="00ED506B" w:rsidRDefault="00ED506B" w:rsidP="006D30DB">
      <w:pPr>
        <w:pStyle w:val="Nagwek1"/>
        <w:numPr>
          <w:ilvl w:val="0"/>
          <w:numId w:val="44"/>
        </w:numPr>
      </w:pPr>
      <w:bookmarkStart w:id="41" w:name="_Toc527709542"/>
      <w:bookmarkStart w:id="42" w:name="_Toc527997301"/>
      <w:bookmarkStart w:id="43" w:name="_Toc528189753"/>
      <w:bookmarkEnd w:id="41"/>
      <w:bookmarkEnd w:id="42"/>
      <w:r w:rsidRPr="00ED506B">
        <w:t>Załącznik I: Wskaźniki ubóstwa energetycznego – wyniki dla subpopulacji</w:t>
      </w:r>
      <w:bookmarkEnd w:id="43"/>
    </w:p>
    <w:p w14:paraId="062F75AA" w14:textId="6555D407" w:rsidR="003018C9" w:rsidRPr="00A85D84" w:rsidRDefault="00A85D84" w:rsidP="006D30DB">
      <w:pPr>
        <w:pStyle w:val="Bullety"/>
        <w:numPr>
          <w:ilvl w:val="0"/>
          <w:numId w:val="0"/>
        </w:numPr>
        <w:rPr>
          <w:b/>
        </w:rPr>
      </w:pPr>
      <w:r w:rsidRPr="00A85D84">
        <w:rPr>
          <w:b/>
        </w:rPr>
        <w:t>Tabela ... Wskaźniki ubóstwa energetycznego według udziału gospodarstw domowych [%] zidentyfikowanych jako ubogie energetycznie w latach 2012 - 2016</w:t>
      </w:r>
    </w:p>
    <w:tbl>
      <w:tblPr>
        <w:tblStyle w:val="Tabela-Siatka"/>
        <w:tblW w:w="0" w:type="auto"/>
        <w:tblBorders>
          <w:insideH w:val="dotted" w:sz="4" w:space="0" w:color="auto"/>
          <w:insideV w:val="dotted" w:sz="4" w:space="0" w:color="auto"/>
        </w:tblBorders>
        <w:tblLook w:val="04A0" w:firstRow="1" w:lastRow="0" w:firstColumn="1" w:lastColumn="0" w:noHBand="0" w:noVBand="1"/>
      </w:tblPr>
      <w:tblGrid>
        <w:gridCol w:w="1761"/>
        <w:gridCol w:w="3801"/>
        <w:gridCol w:w="661"/>
        <w:gridCol w:w="703"/>
        <w:gridCol w:w="704"/>
        <w:gridCol w:w="704"/>
        <w:gridCol w:w="691"/>
      </w:tblGrid>
      <w:tr w:rsidR="003018C9" w:rsidRPr="0023683F" w14:paraId="6E2D98A6" w14:textId="77777777" w:rsidTr="0017550F">
        <w:tc>
          <w:tcPr>
            <w:tcW w:w="1526" w:type="dxa"/>
            <w:vMerge w:val="restart"/>
            <w:shd w:val="clear" w:color="auto" w:fill="FFFF00"/>
            <w:vAlign w:val="center"/>
          </w:tcPr>
          <w:p w14:paraId="65C1B068" w14:textId="77777777" w:rsidR="003018C9" w:rsidRPr="0023683F" w:rsidRDefault="003018C9" w:rsidP="0017550F">
            <w:pPr>
              <w:autoSpaceDE w:val="0"/>
              <w:autoSpaceDN w:val="0"/>
              <w:adjustRightInd w:val="0"/>
              <w:spacing w:after="0" w:line="276" w:lineRule="auto"/>
              <w:jc w:val="center"/>
              <w:rPr>
                <w:rFonts w:cs="Arial"/>
                <w:b/>
                <w:sz w:val="20"/>
                <w:szCs w:val="20"/>
                <w:lang w:val="en-GB"/>
              </w:rPr>
            </w:pPr>
            <w:r w:rsidRPr="0023683F">
              <w:rPr>
                <w:rFonts w:cs="Arial"/>
                <w:b/>
                <w:sz w:val="20"/>
                <w:szCs w:val="20"/>
                <w:lang w:val="en-GB"/>
              </w:rPr>
              <w:t>Indicator</w:t>
            </w:r>
          </w:p>
        </w:tc>
        <w:tc>
          <w:tcPr>
            <w:tcW w:w="4021" w:type="dxa"/>
            <w:vMerge w:val="restart"/>
            <w:tcBorders>
              <w:right w:val="single" w:sz="4" w:space="0" w:color="000000"/>
            </w:tcBorders>
            <w:shd w:val="clear" w:color="auto" w:fill="FFFF00"/>
            <w:vAlign w:val="center"/>
          </w:tcPr>
          <w:p w14:paraId="529961B8" w14:textId="2714CE3D" w:rsidR="003018C9" w:rsidRPr="006A1C43" w:rsidRDefault="006A1C43" w:rsidP="0017550F">
            <w:pPr>
              <w:autoSpaceDE w:val="0"/>
              <w:autoSpaceDN w:val="0"/>
              <w:adjustRightInd w:val="0"/>
              <w:spacing w:after="0" w:line="276" w:lineRule="auto"/>
              <w:jc w:val="center"/>
              <w:rPr>
                <w:rFonts w:cs="Arial"/>
                <w:b/>
                <w:sz w:val="20"/>
                <w:szCs w:val="20"/>
                <w:lang w:val="pl-PL"/>
              </w:rPr>
            </w:pPr>
            <w:r w:rsidRPr="006A1C43">
              <w:rPr>
                <w:rFonts w:cs="Arial"/>
                <w:b/>
                <w:sz w:val="20"/>
                <w:szCs w:val="20"/>
                <w:lang w:val="pl-PL"/>
              </w:rPr>
              <w:t>Sposób identyfikacji ubogich energetycznie gospodarstw domowych</w:t>
            </w:r>
          </w:p>
        </w:tc>
        <w:tc>
          <w:tcPr>
            <w:tcW w:w="3478" w:type="dxa"/>
            <w:gridSpan w:val="5"/>
            <w:tcBorders>
              <w:top w:val="single" w:sz="4" w:space="0" w:color="000000"/>
              <w:left w:val="single" w:sz="4" w:space="0" w:color="000000"/>
              <w:bottom w:val="dotted" w:sz="4" w:space="0" w:color="auto"/>
            </w:tcBorders>
            <w:shd w:val="clear" w:color="auto" w:fill="FFFF00"/>
            <w:vAlign w:val="center"/>
          </w:tcPr>
          <w:p w14:paraId="6146A4D0" w14:textId="1CEDD857" w:rsidR="003018C9" w:rsidRPr="0023683F" w:rsidRDefault="00A85D84" w:rsidP="0017550F">
            <w:pPr>
              <w:autoSpaceDE w:val="0"/>
              <w:autoSpaceDN w:val="0"/>
              <w:adjustRightInd w:val="0"/>
              <w:spacing w:after="0" w:line="276" w:lineRule="auto"/>
              <w:jc w:val="center"/>
              <w:rPr>
                <w:rFonts w:cs="Arial"/>
                <w:b/>
                <w:sz w:val="20"/>
                <w:szCs w:val="20"/>
                <w:lang w:val="en-GB"/>
              </w:rPr>
            </w:pPr>
            <w:r w:rsidRPr="00A85D84">
              <w:rPr>
                <w:rFonts w:cs="Arial"/>
                <w:b/>
                <w:sz w:val="20"/>
                <w:szCs w:val="20"/>
                <w:lang w:val="pl-PL"/>
              </w:rPr>
              <w:t>Wartość</w:t>
            </w:r>
            <w:r w:rsidR="003018C9" w:rsidRPr="00A85D84">
              <w:rPr>
                <w:rFonts w:cs="Arial"/>
                <w:b/>
                <w:sz w:val="20"/>
                <w:szCs w:val="20"/>
                <w:lang w:val="pl-PL"/>
              </w:rPr>
              <w:t xml:space="preserve"> </w:t>
            </w:r>
            <w:r w:rsidR="003018C9">
              <w:rPr>
                <w:rFonts w:cs="Arial"/>
                <w:b/>
                <w:sz w:val="20"/>
                <w:szCs w:val="20"/>
                <w:lang w:val="en-GB"/>
              </w:rPr>
              <w:t>[%]</w:t>
            </w:r>
          </w:p>
        </w:tc>
      </w:tr>
      <w:tr w:rsidR="003018C9" w:rsidRPr="0023683F" w14:paraId="0C580C2C" w14:textId="77777777" w:rsidTr="0017550F">
        <w:tc>
          <w:tcPr>
            <w:tcW w:w="1526" w:type="dxa"/>
            <w:vMerge/>
            <w:shd w:val="clear" w:color="auto" w:fill="FFFF00"/>
            <w:vAlign w:val="center"/>
          </w:tcPr>
          <w:p w14:paraId="66461762" w14:textId="77777777" w:rsidR="003018C9" w:rsidRPr="0023683F" w:rsidRDefault="003018C9" w:rsidP="0017550F">
            <w:pPr>
              <w:autoSpaceDE w:val="0"/>
              <w:autoSpaceDN w:val="0"/>
              <w:adjustRightInd w:val="0"/>
              <w:spacing w:after="0" w:line="276" w:lineRule="auto"/>
              <w:jc w:val="center"/>
              <w:rPr>
                <w:rFonts w:cs="Arial"/>
                <w:b/>
                <w:sz w:val="20"/>
                <w:szCs w:val="20"/>
                <w:lang w:val="en-GB"/>
              </w:rPr>
            </w:pPr>
          </w:p>
        </w:tc>
        <w:tc>
          <w:tcPr>
            <w:tcW w:w="4021" w:type="dxa"/>
            <w:vMerge/>
            <w:tcBorders>
              <w:right w:val="single" w:sz="4" w:space="0" w:color="000000"/>
            </w:tcBorders>
            <w:shd w:val="clear" w:color="auto" w:fill="FFFF00"/>
            <w:vAlign w:val="center"/>
          </w:tcPr>
          <w:p w14:paraId="29FBE6D7" w14:textId="77777777" w:rsidR="003018C9" w:rsidRPr="00381313" w:rsidRDefault="003018C9" w:rsidP="0017550F">
            <w:pPr>
              <w:autoSpaceDE w:val="0"/>
              <w:autoSpaceDN w:val="0"/>
              <w:adjustRightInd w:val="0"/>
              <w:spacing w:after="0" w:line="276" w:lineRule="auto"/>
              <w:jc w:val="center"/>
              <w:rPr>
                <w:rFonts w:cs="Arial"/>
                <w:sz w:val="20"/>
                <w:szCs w:val="20"/>
                <w:lang w:val="en-GB"/>
              </w:rPr>
            </w:pPr>
          </w:p>
        </w:tc>
        <w:tc>
          <w:tcPr>
            <w:tcW w:w="661" w:type="dxa"/>
            <w:tcBorders>
              <w:top w:val="dotted" w:sz="4" w:space="0" w:color="auto"/>
              <w:left w:val="single" w:sz="4" w:space="0" w:color="000000"/>
              <w:bottom w:val="single" w:sz="4" w:space="0" w:color="000000"/>
            </w:tcBorders>
            <w:shd w:val="clear" w:color="auto" w:fill="FFFF00"/>
            <w:vAlign w:val="center"/>
          </w:tcPr>
          <w:p w14:paraId="3FD39096" w14:textId="77777777" w:rsidR="003018C9" w:rsidRPr="0023683F" w:rsidRDefault="003018C9" w:rsidP="0017550F">
            <w:pPr>
              <w:autoSpaceDE w:val="0"/>
              <w:autoSpaceDN w:val="0"/>
              <w:adjustRightInd w:val="0"/>
              <w:spacing w:after="0" w:line="276" w:lineRule="auto"/>
              <w:jc w:val="center"/>
              <w:rPr>
                <w:rFonts w:cs="Arial"/>
                <w:b/>
                <w:sz w:val="20"/>
                <w:szCs w:val="20"/>
                <w:lang w:val="en-GB"/>
              </w:rPr>
            </w:pPr>
            <w:r w:rsidRPr="0023683F">
              <w:rPr>
                <w:rFonts w:cs="Arial"/>
                <w:b/>
                <w:sz w:val="20"/>
                <w:szCs w:val="20"/>
                <w:lang w:val="en-GB"/>
              </w:rPr>
              <w:t>2012</w:t>
            </w:r>
          </w:p>
        </w:tc>
        <w:tc>
          <w:tcPr>
            <w:tcW w:w="707" w:type="dxa"/>
            <w:tcBorders>
              <w:top w:val="dotted" w:sz="4" w:space="0" w:color="auto"/>
              <w:bottom w:val="single" w:sz="4" w:space="0" w:color="000000"/>
            </w:tcBorders>
            <w:shd w:val="clear" w:color="auto" w:fill="FFFF00"/>
            <w:vAlign w:val="center"/>
          </w:tcPr>
          <w:p w14:paraId="325E9319" w14:textId="77777777" w:rsidR="003018C9" w:rsidRPr="0023683F" w:rsidRDefault="003018C9" w:rsidP="0017550F">
            <w:pPr>
              <w:autoSpaceDE w:val="0"/>
              <w:autoSpaceDN w:val="0"/>
              <w:adjustRightInd w:val="0"/>
              <w:spacing w:after="0" w:line="276" w:lineRule="auto"/>
              <w:jc w:val="center"/>
              <w:rPr>
                <w:rFonts w:cs="Arial"/>
                <w:b/>
                <w:sz w:val="20"/>
                <w:szCs w:val="20"/>
                <w:lang w:val="en-GB"/>
              </w:rPr>
            </w:pPr>
            <w:r w:rsidRPr="0023683F">
              <w:rPr>
                <w:rFonts w:cs="Arial"/>
                <w:b/>
                <w:sz w:val="20"/>
                <w:szCs w:val="20"/>
                <w:lang w:val="en-GB"/>
              </w:rPr>
              <w:t>2013</w:t>
            </w:r>
          </w:p>
        </w:tc>
        <w:tc>
          <w:tcPr>
            <w:tcW w:w="708" w:type="dxa"/>
            <w:tcBorders>
              <w:top w:val="dotted" w:sz="4" w:space="0" w:color="auto"/>
              <w:bottom w:val="single" w:sz="4" w:space="0" w:color="000000"/>
            </w:tcBorders>
            <w:shd w:val="clear" w:color="auto" w:fill="FFFF00"/>
            <w:vAlign w:val="center"/>
          </w:tcPr>
          <w:p w14:paraId="713E004B" w14:textId="77777777" w:rsidR="003018C9" w:rsidRPr="0023683F" w:rsidRDefault="003018C9" w:rsidP="0017550F">
            <w:pPr>
              <w:autoSpaceDE w:val="0"/>
              <w:autoSpaceDN w:val="0"/>
              <w:adjustRightInd w:val="0"/>
              <w:spacing w:after="0" w:line="276" w:lineRule="auto"/>
              <w:jc w:val="center"/>
              <w:rPr>
                <w:rFonts w:cs="Arial"/>
                <w:b/>
                <w:sz w:val="20"/>
                <w:szCs w:val="20"/>
                <w:lang w:val="en-GB"/>
              </w:rPr>
            </w:pPr>
            <w:r w:rsidRPr="0023683F">
              <w:rPr>
                <w:rFonts w:cs="Arial"/>
                <w:b/>
                <w:sz w:val="20"/>
                <w:szCs w:val="20"/>
                <w:lang w:val="en-GB"/>
              </w:rPr>
              <w:t>2014</w:t>
            </w:r>
          </w:p>
        </w:tc>
        <w:tc>
          <w:tcPr>
            <w:tcW w:w="708" w:type="dxa"/>
            <w:tcBorders>
              <w:top w:val="dotted" w:sz="4" w:space="0" w:color="auto"/>
              <w:bottom w:val="single" w:sz="4" w:space="0" w:color="000000"/>
            </w:tcBorders>
            <w:shd w:val="clear" w:color="auto" w:fill="FFFF00"/>
            <w:vAlign w:val="center"/>
          </w:tcPr>
          <w:p w14:paraId="729E31C2" w14:textId="77777777" w:rsidR="003018C9" w:rsidRPr="0023683F" w:rsidRDefault="003018C9" w:rsidP="0017550F">
            <w:pPr>
              <w:autoSpaceDE w:val="0"/>
              <w:autoSpaceDN w:val="0"/>
              <w:adjustRightInd w:val="0"/>
              <w:spacing w:after="0" w:line="276" w:lineRule="auto"/>
              <w:jc w:val="center"/>
              <w:rPr>
                <w:rFonts w:cs="Arial"/>
                <w:b/>
                <w:sz w:val="20"/>
                <w:szCs w:val="20"/>
                <w:lang w:val="en-GB"/>
              </w:rPr>
            </w:pPr>
            <w:r w:rsidRPr="0023683F">
              <w:rPr>
                <w:rFonts w:cs="Arial"/>
                <w:b/>
                <w:sz w:val="20"/>
                <w:szCs w:val="20"/>
                <w:lang w:val="en-GB"/>
              </w:rPr>
              <w:t>2015</w:t>
            </w:r>
          </w:p>
        </w:tc>
        <w:tc>
          <w:tcPr>
            <w:tcW w:w="694" w:type="dxa"/>
            <w:tcBorders>
              <w:top w:val="dotted" w:sz="4" w:space="0" w:color="auto"/>
              <w:bottom w:val="single" w:sz="4" w:space="0" w:color="000000"/>
            </w:tcBorders>
            <w:shd w:val="clear" w:color="auto" w:fill="FFFF00"/>
            <w:vAlign w:val="center"/>
          </w:tcPr>
          <w:p w14:paraId="39E7CAB3" w14:textId="77777777" w:rsidR="003018C9" w:rsidRPr="0023683F" w:rsidRDefault="003018C9" w:rsidP="0017550F">
            <w:pPr>
              <w:autoSpaceDE w:val="0"/>
              <w:autoSpaceDN w:val="0"/>
              <w:adjustRightInd w:val="0"/>
              <w:spacing w:after="0" w:line="276" w:lineRule="auto"/>
              <w:jc w:val="center"/>
              <w:rPr>
                <w:rFonts w:cs="Arial"/>
                <w:b/>
                <w:sz w:val="20"/>
                <w:szCs w:val="20"/>
                <w:lang w:val="en-GB"/>
              </w:rPr>
            </w:pPr>
            <w:r w:rsidRPr="0023683F">
              <w:rPr>
                <w:rFonts w:cs="Arial"/>
                <w:b/>
                <w:sz w:val="20"/>
                <w:szCs w:val="20"/>
                <w:lang w:val="en-GB"/>
              </w:rPr>
              <w:t>2016</w:t>
            </w:r>
          </w:p>
        </w:tc>
      </w:tr>
      <w:tr w:rsidR="003018C9" w:rsidRPr="0023683F" w14:paraId="1E151D52" w14:textId="77777777" w:rsidTr="006A1C43">
        <w:tc>
          <w:tcPr>
            <w:tcW w:w="1526" w:type="dxa"/>
            <w:vAlign w:val="center"/>
          </w:tcPr>
          <w:p w14:paraId="28D7B0FA" w14:textId="2008BB46" w:rsidR="003018C9" w:rsidRPr="00680642" w:rsidRDefault="006A1C43" w:rsidP="006A1C43">
            <w:pPr>
              <w:autoSpaceDE w:val="0"/>
              <w:autoSpaceDN w:val="0"/>
              <w:adjustRightInd w:val="0"/>
              <w:spacing w:after="0" w:line="276" w:lineRule="auto"/>
              <w:jc w:val="center"/>
              <w:rPr>
                <w:rFonts w:cs="Arial"/>
                <w:b/>
                <w:sz w:val="20"/>
                <w:szCs w:val="20"/>
                <w:lang w:val="en-GB"/>
              </w:rPr>
            </w:pPr>
            <w:r w:rsidRPr="001247FB">
              <w:rPr>
                <w:rFonts w:cs="Arial"/>
                <w:sz w:val="20"/>
                <w:szCs w:val="20"/>
                <w:lang w:val="pl-PL"/>
              </w:rPr>
              <w:t>Wysokie Koszty, Niskie Dochody</w:t>
            </w:r>
          </w:p>
        </w:tc>
        <w:tc>
          <w:tcPr>
            <w:tcW w:w="4021" w:type="dxa"/>
            <w:tcBorders>
              <w:right w:val="single" w:sz="4" w:space="0" w:color="000000"/>
            </w:tcBorders>
            <w:vAlign w:val="center"/>
          </w:tcPr>
          <w:p w14:paraId="75AD3B1D" w14:textId="17EAF022" w:rsidR="003018C9" w:rsidRPr="006A1C43" w:rsidRDefault="006A1C43" w:rsidP="006A1C43">
            <w:pPr>
              <w:autoSpaceDE w:val="0"/>
              <w:autoSpaceDN w:val="0"/>
              <w:adjustRightInd w:val="0"/>
              <w:spacing w:after="0" w:line="276" w:lineRule="auto"/>
              <w:jc w:val="center"/>
              <w:rPr>
                <w:rFonts w:cs="Arial"/>
                <w:sz w:val="20"/>
                <w:szCs w:val="20"/>
                <w:lang w:val="pl-PL"/>
              </w:rPr>
            </w:pPr>
            <w:r w:rsidRPr="006A1C43">
              <w:rPr>
                <w:rFonts w:cs="Arial"/>
                <w:sz w:val="20"/>
                <w:szCs w:val="20"/>
                <w:lang w:val="pl-PL"/>
              </w:rPr>
              <w:t xml:space="preserve">Wysokie wymagane </w:t>
            </w:r>
            <w:r>
              <w:rPr>
                <w:rFonts w:cs="Arial"/>
                <w:sz w:val="20"/>
                <w:szCs w:val="20"/>
                <w:lang w:val="pl-PL"/>
              </w:rPr>
              <w:t>koszty energii i niskie dochody. Wymagane koszty są obliczane na podstawie efektywności energetycznej budynku i cenach energii.</w:t>
            </w:r>
          </w:p>
        </w:tc>
        <w:tc>
          <w:tcPr>
            <w:tcW w:w="661" w:type="dxa"/>
            <w:tcBorders>
              <w:top w:val="single" w:sz="4" w:space="0" w:color="000000"/>
              <w:left w:val="single" w:sz="4" w:space="0" w:color="000000"/>
              <w:bottom w:val="dotted" w:sz="4" w:space="0" w:color="auto"/>
            </w:tcBorders>
            <w:vAlign w:val="center"/>
          </w:tcPr>
          <w:p w14:paraId="11C1AEA4" w14:textId="14BD0D4E" w:rsidR="003018C9" w:rsidRPr="0023683F" w:rsidRDefault="003018C9" w:rsidP="006A1C43">
            <w:pPr>
              <w:autoSpaceDE w:val="0"/>
              <w:autoSpaceDN w:val="0"/>
              <w:adjustRightInd w:val="0"/>
              <w:spacing w:after="0" w:line="276" w:lineRule="auto"/>
              <w:jc w:val="center"/>
              <w:rPr>
                <w:rFonts w:cs="Arial"/>
                <w:b/>
                <w:sz w:val="20"/>
                <w:szCs w:val="20"/>
                <w:lang w:val="en-GB"/>
              </w:rPr>
            </w:pPr>
            <w:r>
              <w:rPr>
                <w:rFonts w:cs="Arial"/>
                <w:b/>
                <w:sz w:val="20"/>
                <w:szCs w:val="20"/>
                <w:lang w:val="en-GB"/>
              </w:rPr>
              <w:t>11</w:t>
            </w:r>
            <w:r w:rsidR="006A1C43">
              <w:rPr>
                <w:rFonts w:cs="Arial"/>
                <w:b/>
                <w:sz w:val="20"/>
                <w:szCs w:val="20"/>
                <w:lang w:val="en-GB"/>
              </w:rPr>
              <w:t>,</w:t>
            </w:r>
            <w:r>
              <w:rPr>
                <w:rFonts w:cs="Arial"/>
                <w:b/>
                <w:sz w:val="20"/>
                <w:szCs w:val="20"/>
                <w:lang w:val="en-GB"/>
              </w:rPr>
              <w:t>1</w:t>
            </w:r>
          </w:p>
        </w:tc>
        <w:tc>
          <w:tcPr>
            <w:tcW w:w="707" w:type="dxa"/>
            <w:tcBorders>
              <w:top w:val="single" w:sz="4" w:space="0" w:color="000000"/>
            </w:tcBorders>
            <w:vAlign w:val="center"/>
          </w:tcPr>
          <w:p w14:paraId="4E557AA8" w14:textId="794D4A79" w:rsidR="003018C9" w:rsidRPr="0023683F" w:rsidRDefault="003018C9" w:rsidP="006A1C43">
            <w:pPr>
              <w:autoSpaceDE w:val="0"/>
              <w:autoSpaceDN w:val="0"/>
              <w:adjustRightInd w:val="0"/>
              <w:spacing w:after="0" w:line="276" w:lineRule="auto"/>
              <w:jc w:val="center"/>
              <w:rPr>
                <w:rFonts w:cs="Arial"/>
                <w:b/>
                <w:sz w:val="20"/>
                <w:szCs w:val="20"/>
                <w:lang w:val="en-GB"/>
              </w:rPr>
            </w:pPr>
            <w:r>
              <w:rPr>
                <w:rFonts w:cs="Arial"/>
                <w:b/>
                <w:sz w:val="20"/>
                <w:szCs w:val="20"/>
                <w:lang w:val="en-GB"/>
              </w:rPr>
              <w:t>11</w:t>
            </w:r>
            <w:r w:rsidR="006A1C43">
              <w:rPr>
                <w:rFonts w:cs="Arial"/>
                <w:b/>
                <w:sz w:val="20"/>
                <w:szCs w:val="20"/>
                <w:lang w:val="en-GB"/>
              </w:rPr>
              <w:t>,</w:t>
            </w:r>
            <w:r>
              <w:rPr>
                <w:rFonts w:cs="Arial"/>
                <w:b/>
                <w:sz w:val="20"/>
                <w:szCs w:val="20"/>
                <w:lang w:val="en-GB"/>
              </w:rPr>
              <w:t>0</w:t>
            </w:r>
          </w:p>
        </w:tc>
        <w:tc>
          <w:tcPr>
            <w:tcW w:w="708" w:type="dxa"/>
            <w:tcBorders>
              <w:top w:val="single" w:sz="4" w:space="0" w:color="000000"/>
            </w:tcBorders>
            <w:vAlign w:val="center"/>
          </w:tcPr>
          <w:p w14:paraId="404F57E6" w14:textId="468E2499" w:rsidR="003018C9" w:rsidRPr="0023683F" w:rsidRDefault="003018C9" w:rsidP="006A1C43">
            <w:pPr>
              <w:autoSpaceDE w:val="0"/>
              <w:autoSpaceDN w:val="0"/>
              <w:adjustRightInd w:val="0"/>
              <w:spacing w:after="0" w:line="276" w:lineRule="auto"/>
              <w:jc w:val="center"/>
              <w:rPr>
                <w:rFonts w:cs="Arial"/>
                <w:b/>
                <w:sz w:val="20"/>
                <w:szCs w:val="20"/>
                <w:lang w:val="en-GB"/>
              </w:rPr>
            </w:pPr>
            <w:r>
              <w:rPr>
                <w:rFonts w:cs="Arial"/>
                <w:b/>
                <w:sz w:val="20"/>
                <w:szCs w:val="20"/>
                <w:lang w:val="en-GB"/>
              </w:rPr>
              <w:t>10</w:t>
            </w:r>
            <w:r w:rsidR="006A1C43">
              <w:rPr>
                <w:rFonts w:cs="Arial"/>
                <w:b/>
                <w:sz w:val="20"/>
                <w:szCs w:val="20"/>
                <w:lang w:val="en-GB"/>
              </w:rPr>
              <w:t>,</w:t>
            </w:r>
            <w:r>
              <w:rPr>
                <w:rFonts w:cs="Arial"/>
                <w:b/>
                <w:sz w:val="20"/>
                <w:szCs w:val="20"/>
                <w:lang w:val="en-GB"/>
              </w:rPr>
              <w:t>1</w:t>
            </w:r>
          </w:p>
        </w:tc>
        <w:tc>
          <w:tcPr>
            <w:tcW w:w="708" w:type="dxa"/>
            <w:tcBorders>
              <w:top w:val="single" w:sz="4" w:space="0" w:color="000000"/>
            </w:tcBorders>
            <w:vAlign w:val="center"/>
          </w:tcPr>
          <w:p w14:paraId="3EEBD65D" w14:textId="5BFD1E6D" w:rsidR="003018C9" w:rsidRPr="0023683F" w:rsidRDefault="003018C9" w:rsidP="006A1C43">
            <w:pPr>
              <w:autoSpaceDE w:val="0"/>
              <w:autoSpaceDN w:val="0"/>
              <w:adjustRightInd w:val="0"/>
              <w:spacing w:after="0" w:line="276" w:lineRule="auto"/>
              <w:jc w:val="center"/>
              <w:rPr>
                <w:rFonts w:cs="Arial"/>
                <w:b/>
                <w:sz w:val="20"/>
                <w:szCs w:val="20"/>
                <w:lang w:val="en-GB"/>
              </w:rPr>
            </w:pPr>
            <w:r>
              <w:rPr>
                <w:rFonts w:cs="Arial"/>
                <w:b/>
                <w:sz w:val="20"/>
                <w:szCs w:val="20"/>
                <w:lang w:val="en-GB"/>
              </w:rPr>
              <w:t>10</w:t>
            </w:r>
            <w:r w:rsidR="006A1C43">
              <w:rPr>
                <w:rFonts w:cs="Arial"/>
                <w:b/>
                <w:sz w:val="20"/>
                <w:szCs w:val="20"/>
                <w:lang w:val="en-GB"/>
              </w:rPr>
              <w:t>,</w:t>
            </w:r>
            <w:r>
              <w:rPr>
                <w:rFonts w:cs="Arial"/>
                <w:b/>
                <w:sz w:val="20"/>
                <w:szCs w:val="20"/>
                <w:lang w:val="en-GB"/>
              </w:rPr>
              <w:t>3</w:t>
            </w:r>
          </w:p>
        </w:tc>
        <w:tc>
          <w:tcPr>
            <w:tcW w:w="694" w:type="dxa"/>
            <w:tcBorders>
              <w:top w:val="single" w:sz="4" w:space="0" w:color="000000"/>
            </w:tcBorders>
            <w:vAlign w:val="center"/>
          </w:tcPr>
          <w:p w14:paraId="788B9662" w14:textId="7FD7311F" w:rsidR="003018C9" w:rsidRPr="0023683F" w:rsidRDefault="003018C9" w:rsidP="006A1C43">
            <w:pPr>
              <w:autoSpaceDE w:val="0"/>
              <w:autoSpaceDN w:val="0"/>
              <w:adjustRightInd w:val="0"/>
              <w:spacing w:after="0" w:line="276" w:lineRule="auto"/>
              <w:jc w:val="center"/>
              <w:rPr>
                <w:rFonts w:cs="Arial"/>
                <w:b/>
                <w:sz w:val="20"/>
                <w:szCs w:val="20"/>
                <w:lang w:val="en-GB"/>
              </w:rPr>
            </w:pPr>
            <w:r>
              <w:rPr>
                <w:rFonts w:cs="Arial"/>
                <w:b/>
                <w:sz w:val="20"/>
                <w:szCs w:val="20"/>
                <w:lang w:val="en-GB"/>
              </w:rPr>
              <w:t>9</w:t>
            </w:r>
            <w:r w:rsidR="006A1C43">
              <w:rPr>
                <w:rFonts w:cs="Arial"/>
                <w:b/>
                <w:sz w:val="20"/>
                <w:szCs w:val="20"/>
                <w:lang w:val="en-GB"/>
              </w:rPr>
              <w:t>,6</w:t>
            </w:r>
          </w:p>
        </w:tc>
      </w:tr>
      <w:tr w:rsidR="003018C9" w:rsidRPr="009B69BD" w14:paraId="6020FE45" w14:textId="77777777" w:rsidTr="0017550F">
        <w:tc>
          <w:tcPr>
            <w:tcW w:w="1526" w:type="dxa"/>
            <w:vMerge w:val="restart"/>
          </w:tcPr>
          <w:p w14:paraId="2B12A609" w14:textId="70F9C7DD" w:rsidR="003018C9" w:rsidRPr="00BC6FBB" w:rsidRDefault="006A1C43" w:rsidP="0017550F">
            <w:pPr>
              <w:autoSpaceDE w:val="0"/>
              <w:autoSpaceDN w:val="0"/>
              <w:adjustRightInd w:val="0"/>
              <w:spacing w:after="0" w:line="276" w:lineRule="auto"/>
              <w:jc w:val="center"/>
              <w:rPr>
                <w:rFonts w:cs="Arial"/>
                <w:b/>
                <w:sz w:val="20"/>
                <w:szCs w:val="20"/>
                <w:lang w:val="pl-PL"/>
              </w:rPr>
            </w:pPr>
            <w:r w:rsidRPr="001247FB">
              <w:rPr>
                <w:rFonts w:cs="Arial"/>
                <w:sz w:val="20"/>
                <w:szCs w:val="20"/>
                <w:lang w:val="pl-PL"/>
              </w:rPr>
              <w:t>Udział wymaganych wydatków na energię względem dochodu</w:t>
            </w:r>
          </w:p>
        </w:tc>
        <w:tc>
          <w:tcPr>
            <w:tcW w:w="4021" w:type="dxa"/>
            <w:tcBorders>
              <w:right w:val="single" w:sz="4" w:space="0" w:color="000000"/>
            </w:tcBorders>
            <w:vAlign w:val="center"/>
          </w:tcPr>
          <w:p w14:paraId="0578798B" w14:textId="14D8126D" w:rsidR="003018C9" w:rsidRPr="00BC6FBB" w:rsidRDefault="006A1C43" w:rsidP="003471BB">
            <w:pPr>
              <w:autoSpaceDE w:val="0"/>
              <w:autoSpaceDN w:val="0"/>
              <w:adjustRightInd w:val="0"/>
              <w:spacing w:after="0" w:line="276" w:lineRule="auto"/>
              <w:jc w:val="center"/>
              <w:rPr>
                <w:rFonts w:cs="Arial"/>
                <w:sz w:val="20"/>
                <w:szCs w:val="20"/>
                <w:lang w:val="pl-PL"/>
              </w:rPr>
            </w:pPr>
            <w:r w:rsidRPr="001247FB">
              <w:rPr>
                <w:rFonts w:cs="Arial"/>
                <w:sz w:val="20"/>
                <w:szCs w:val="20"/>
                <w:lang w:val="pl-PL"/>
              </w:rPr>
              <w:t>Udział wymaganych wydatków na energię względem</w:t>
            </w:r>
            <w:r w:rsidR="003471BB">
              <w:rPr>
                <w:rFonts w:cs="Arial"/>
                <w:sz w:val="20"/>
                <w:szCs w:val="20"/>
                <w:lang w:val="pl-PL"/>
              </w:rPr>
              <w:t xml:space="preserve"> dysponowanego</w:t>
            </w:r>
            <w:r w:rsidRPr="001247FB">
              <w:rPr>
                <w:rFonts w:cs="Arial"/>
                <w:sz w:val="20"/>
                <w:szCs w:val="20"/>
                <w:lang w:val="pl-PL"/>
              </w:rPr>
              <w:t xml:space="preserve"> dochodu</w:t>
            </w:r>
            <w:r w:rsidR="003471BB">
              <w:rPr>
                <w:rFonts w:cs="Arial"/>
                <w:sz w:val="20"/>
                <w:szCs w:val="20"/>
                <w:lang w:val="pl-PL"/>
              </w:rPr>
              <w:t xml:space="preserve"> przekracza określony próg</w:t>
            </w:r>
            <w:r w:rsidR="003018C9" w:rsidRPr="00BC6FBB">
              <w:rPr>
                <w:rFonts w:cs="Arial"/>
                <w:sz w:val="20"/>
                <w:szCs w:val="20"/>
                <w:lang w:val="pl-PL"/>
              </w:rPr>
              <w:t xml:space="preserve"> (10%)</w:t>
            </w:r>
          </w:p>
        </w:tc>
        <w:tc>
          <w:tcPr>
            <w:tcW w:w="661" w:type="dxa"/>
            <w:tcBorders>
              <w:top w:val="dotted" w:sz="4" w:space="0" w:color="auto"/>
              <w:left w:val="single" w:sz="4" w:space="0" w:color="000000"/>
              <w:bottom w:val="dotted" w:sz="4" w:space="0" w:color="auto"/>
            </w:tcBorders>
            <w:vAlign w:val="center"/>
          </w:tcPr>
          <w:p w14:paraId="79DB8DE7" w14:textId="1F85CBF4" w:rsidR="003018C9" w:rsidRPr="0023683F" w:rsidRDefault="003018C9" w:rsidP="006A1C43">
            <w:pPr>
              <w:autoSpaceDE w:val="0"/>
              <w:autoSpaceDN w:val="0"/>
              <w:adjustRightInd w:val="0"/>
              <w:spacing w:after="0" w:line="276" w:lineRule="auto"/>
              <w:jc w:val="center"/>
              <w:rPr>
                <w:rFonts w:cs="Arial"/>
                <w:b/>
                <w:sz w:val="20"/>
                <w:szCs w:val="20"/>
                <w:lang w:val="en-GB"/>
              </w:rPr>
            </w:pPr>
            <w:r>
              <w:rPr>
                <w:rFonts w:cs="Arial"/>
                <w:b/>
                <w:sz w:val="20"/>
                <w:szCs w:val="20"/>
                <w:lang w:val="en-GB"/>
              </w:rPr>
              <w:t>63</w:t>
            </w:r>
            <w:r w:rsidR="006A1C43">
              <w:rPr>
                <w:rFonts w:cs="Arial"/>
                <w:b/>
                <w:sz w:val="20"/>
                <w:szCs w:val="20"/>
                <w:lang w:val="en-GB"/>
              </w:rPr>
              <w:t>,</w:t>
            </w:r>
            <w:r>
              <w:rPr>
                <w:rFonts w:cs="Arial"/>
                <w:b/>
                <w:sz w:val="20"/>
                <w:szCs w:val="20"/>
                <w:lang w:val="en-GB"/>
              </w:rPr>
              <w:t>4</w:t>
            </w:r>
          </w:p>
        </w:tc>
        <w:tc>
          <w:tcPr>
            <w:tcW w:w="707" w:type="dxa"/>
            <w:vAlign w:val="center"/>
          </w:tcPr>
          <w:p w14:paraId="76DFD0E6" w14:textId="35FD904D" w:rsidR="003018C9" w:rsidRPr="0023683F" w:rsidRDefault="003018C9"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6</w:t>
            </w:r>
            <w:r w:rsidR="006A1C43">
              <w:rPr>
                <w:rFonts w:cs="Arial"/>
                <w:b/>
                <w:sz w:val="20"/>
                <w:szCs w:val="20"/>
                <w:lang w:val="en-GB"/>
              </w:rPr>
              <w:t>3,</w:t>
            </w:r>
            <w:r>
              <w:rPr>
                <w:rFonts w:cs="Arial"/>
                <w:b/>
                <w:sz w:val="20"/>
                <w:szCs w:val="20"/>
                <w:lang w:val="en-GB"/>
              </w:rPr>
              <w:t>1</w:t>
            </w:r>
          </w:p>
        </w:tc>
        <w:tc>
          <w:tcPr>
            <w:tcW w:w="708" w:type="dxa"/>
            <w:vAlign w:val="center"/>
          </w:tcPr>
          <w:p w14:paraId="035DFCAC" w14:textId="6164BE4E"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56,</w:t>
            </w:r>
            <w:r w:rsidR="003018C9">
              <w:rPr>
                <w:rFonts w:cs="Arial"/>
                <w:b/>
                <w:sz w:val="20"/>
                <w:szCs w:val="20"/>
                <w:lang w:val="en-GB"/>
              </w:rPr>
              <w:t>5</w:t>
            </w:r>
          </w:p>
        </w:tc>
        <w:tc>
          <w:tcPr>
            <w:tcW w:w="708" w:type="dxa"/>
            <w:vAlign w:val="center"/>
          </w:tcPr>
          <w:p w14:paraId="47B3025D" w14:textId="77777777" w:rsidR="003018C9" w:rsidRPr="0023683F" w:rsidRDefault="003018C9"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53.4</w:t>
            </w:r>
          </w:p>
        </w:tc>
        <w:tc>
          <w:tcPr>
            <w:tcW w:w="694" w:type="dxa"/>
            <w:vAlign w:val="center"/>
          </w:tcPr>
          <w:p w14:paraId="396E863F" w14:textId="3C74E969"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46,</w:t>
            </w:r>
            <w:r w:rsidR="003018C9">
              <w:rPr>
                <w:rFonts w:cs="Arial"/>
                <w:b/>
                <w:sz w:val="20"/>
                <w:szCs w:val="20"/>
                <w:lang w:val="en-GB"/>
              </w:rPr>
              <w:t>7</w:t>
            </w:r>
          </w:p>
        </w:tc>
      </w:tr>
      <w:tr w:rsidR="003018C9" w:rsidRPr="009B69BD" w14:paraId="068ED15A" w14:textId="77777777" w:rsidTr="0017550F">
        <w:tc>
          <w:tcPr>
            <w:tcW w:w="1526" w:type="dxa"/>
            <w:vMerge/>
          </w:tcPr>
          <w:p w14:paraId="6CC77FAB" w14:textId="77777777" w:rsidR="003018C9" w:rsidRPr="00680642" w:rsidRDefault="003018C9" w:rsidP="0017550F">
            <w:pPr>
              <w:autoSpaceDE w:val="0"/>
              <w:autoSpaceDN w:val="0"/>
              <w:adjustRightInd w:val="0"/>
              <w:spacing w:after="0" w:line="276" w:lineRule="auto"/>
              <w:jc w:val="center"/>
              <w:rPr>
                <w:sz w:val="20"/>
                <w:szCs w:val="20"/>
              </w:rPr>
            </w:pPr>
          </w:p>
        </w:tc>
        <w:tc>
          <w:tcPr>
            <w:tcW w:w="4021" w:type="dxa"/>
            <w:tcBorders>
              <w:right w:val="single" w:sz="4" w:space="0" w:color="000000"/>
            </w:tcBorders>
            <w:vAlign w:val="center"/>
          </w:tcPr>
          <w:p w14:paraId="3C79C4D3" w14:textId="4EA38289" w:rsidR="003018C9" w:rsidRPr="00BC6FBB" w:rsidRDefault="003471BB" w:rsidP="003471BB">
            <w:pPr>
              <w:autoSpaceDE w:val="0"/>
              <w:autoSpaceDN w:val="0"/>
              <w:adjustRightInd w:val="0"/>
              <w:spacing w:after="0" w:line="276" w:lineRule="auto"/>
              <w:jc w:val="center"/>
              <w:rPr>
                <w:rFonts w:cs="Arial"/>
                <w:sz w:val="20"/>
                <w:szCs w:val="20"/>
                <w:lang w:val="pl-PL"/>
              </w:rPr>
            </w:pPr>
            <w:r w:rsidRPr="001247FB">
              <w:rPr>
                <w:rFonts w:cs="Arial"/>
                <w:sz w:val="20"/>
                <w:szCs w:val="20"/>
                <w:lang w:val="pl-PL"/>
              </w:rPr>
              <w:t>Udział wymaganych wydatków na energię względem</w:t>
            </w:r>
            <w:r>
              <w:rPr>
                <w:rFonts w:cs="Arial"/>
                <w:sz w:val="20"/>
                <w:szCs w:val="20"/>
                <w:lang w:val="pl-PL"/>
              </w:rPr>
              <w:t xml:space="preserve"> dysponowanego</w:t>
            </w:r>
            <w:r w:rsidRPr="001247FB">
              <w:rPr>
                <w:rFonts w:cs="Arial"/>
                <w:sz w:val="20"/>
                <w:szCs w:val="20"/>
                <w:lang w:val="pl-PL"/>
              </w:rPr>
              <w:t xml:space="preserve"> dochodu</w:t>
            </w:r>
            <w:r>
              <w:rPr>
                <w:rFonts w:cs="Arial"/>
                <w:sz w:val="20"/>
                <w:szCs w:val="20"/>
                <w:lang w:val="pl-PL"/>
              </w:rPr>
              <w:t xml:space="preserve"> przekracza określony próg</w:t>
            </w:r>
            <w:r w:rsidRPr="00BC6FBB">
              <w:rPr>
                <w:rFonts w:cs="Arial"/>
                <w:sz w:val="20"/>
                <w:szCs w:val="20"/>
                <w:lang w:val="pl-PL"/>
              </w:rPr>
              <w:t xml:space="preserve"> (22%)</w:t>
            </w:r>
          </w:p>
        </w:tc>
        <w:tc>
          <w:tcPr>
            <w:tcW w:w="661" w:type="dxa"/>
            <w:tcBorders>
              <w:top w:val="dotted" w:sz="4" w:space="0" w:color="auto"/>
              <w:left w:val="single" w:sz="4" w:space="0" w:color="000000"/>
              <w:bottom w:val="dotted" w:sz="4" w:space="0" w:color="auto"/>
            </w:tcBorders>
            <w:vAlign w:val="center"/>
          </w:tcPr>
          <w:p w14:paraId="26809651" w14:textId="7542C466" w:rsidR="003018C9"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13,</w:t>
            </w:r>
            <w:r w:rsidR="003018C9">
              <w:rPr>
                <w:rFonts w:cs="Arial"/>
                <w:b/>
                <w:sz w:val="20"/>
                <w:szCs w:val="20"/>
                <w:lang w:val="en-GB"/>
              </w:rPr>
              <w:t>0</w:t>
            </w:r>
          </w:p>
        </w:tc>
        <w:tc>
          <w:tcPr>
            <w:tcW w:w="707" w:type="dxa"/>
            <w:vAlign w:val="center"/>
          </w:tcPr>
          <w:p w14:paraId="2E1355BA" w14:textId="1565AF2C" w:rsidR="003018C9"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12,</w:t>
            </w:r>
            <w:r w:rsidR="003018C9">
              <w:rPr>
                <w:rFonts w:cs="Arial"/>
                <w:b/>
                <w:sz w:val="20"/>
                <w:szCs w:val="20"/>
                <w:lang w:val="en-GB"/>
              </w:rPr>
              <w:t>4</w:t>
            </w:r>
          </w:p>
        </w:tc>
        <w:tc>
          <w:tcPr>
            <w:tcW w:w="708" w:type="dxa"/>
            <w:vAlign w:val="center"/>
          </w:tcPr>
          <w:p w14:paraId="36CC922B" w14:textId="57AA5301" w:rsidR="003018C9"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8,</w:t>
            </w:r>
            <w:r w:rsidR="003018C9">
              <w:rPr>
                <w:rFonts w:cs="Arial"/>
                <w:b/>
                <w:sz w:val="20"/>
                <w:szCs w:val="20"/>
                <w:lang w:val="en-GB"/>
              </w:rPr>
              <w:t>8</w:t>
            </w:r>
          </w:p>
        </w:tc>
        <w:tc>
          <w:tcPr>
            <w:tcW w:w="708" w:type="dxa"/>
            <w:vAlign w:val="center"/>
          </w:tcPr>
          <w:p w14:paraId="61104E0A" w14:textId="77777777" w:rsidR="003018C9" w:rsidRDefault="003018C9"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8.0</w:t>
            </w:r>
          </w:p>
        </w:tc>
        <w:tc>
          <w:tcPr>
            <w:tcW w:w="694" w:type="dxa"/>
            <w:vAlign w:val="center"/>
          </w:tcPr>
          <w:p w14:paraId="498ECE58" w14:textId="5F846F66" w:rsidR="003018C9"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5,</w:t>
            </w:r>
            <w:r w:rsidR="003018C9">
              <w:rPr>
                <w:rFonts w:cs="Arial"/>
                <w:b/>
                <w:sz w:val="20"/>
                <w:szCs w:val="20"/>
                <w:lang w:val="en-GB"/>
              </w:rPr>
              <w:t>5</w:t>
            </w:r>
          </w:p>
        </w:tc>
      </w:tr>
      <w:tr w:rsidR="003018C9" w:rsidRPr="0023683F" w14:paraId="1CA9EEA1" w14:textId="77777777" w:rsidTr="0017550F">
        <w:tc>
          <w:tcPr>
            <w:tcW w:w="1526" w:type="dxa"/>
          </w:tcPr>
          <w:p w14:paraId="300212D5" w14:textId="78202DED" w:rsidR="003018C9" w:rsidRPr="00BC6FBB" w:rsidRDefault="006A1C43" w:rsidP="0017550F">
            <w:pPr>
              <w:autoSpaceDE w:val="0"/>
              <w:autoSpaceDN w:val="0"/>
              <w:adjustRightInd w:val="0"/>
              <w:spacing w:after="0" w:line="276" w:lineRule="auto"/>
              <w:jc w:val="center"/>
              <w:rPr>
                <w:rFonts w:cs="Arial"/>
                <w:b/>
                <w:sz w:val="20"/>
                <w:szCs w:val="20"/>
                <w:lang w:val="pl-PL"/>
              </w:rPr>
            </w:pPr>
            <w:r w:rsidRPr="001247FB">
              <w:rPr>
                <w:rFonts w:cs="Arial"/>
                <w:sz w:val="20"/>
                <w:szCs w:val="20"/>
                <w:lang w:val="pl-PL"/>
              </w:rPr>
              <w:t>Podwójna mediana wydatków na energię</w:t>
            </w:r>
          </w:p>
        </w:tc>
        <w:tc>
          <w:tcPr>
            <w:tcW w:w="4021" w:type="dxa"/>
            <w:tcBorders>
              <w:right w:val="single" w:sz="4" w:space="0" w:color="000000"/>
            </w:tcBorders>
            <w:vAlign w:val="center"/>
          </w:tcPr>
          <w:p w14:paraId="5A994480" w14:textId="3CF57EE4" w:rsidR="003018C9" w:rsidRPr="003471BB" w:rsidRDefault="003471BB" w:rsidP="003471BB">
            <w:pPr>
              <w:autoSpaceDE w:val="0"/>
              <w:autoSpaceDN w:val="0"/>
              <w:adjustRightInd w:val="0"/>
              <w:spacing w:after="0" w:line="276" w:lineRule="auto"/>
              <w:jc w:val="center"/>
              <w:rPr>
                <w:rFonts w:cs="Arial"/>
                <w:sz w:val="20"/>
                <w:szCs w:val="20"/>
                <w:lang w:val="pl-PL"/>
              </w:rPr>
            </w:pPr>
            <w:r w:rsidRPr="003471BB">
              <w:rPr>
                <w:rFonts w:cs="Arial"/>
                <w:sz w:val="20"/>
                <w:szCs w:val="20"/>
                <w:lang w:val="pl-PL"/>
              </w:rPr>
              <w:t>Koszty energii są równe lub wyższe od krajowej podwójnej median</w:t>
            </w:r>
            <w:r>
              <w:rPr>
                <w:rFonts w:cs="Arial"/>
                <w:sz w:val="20"/>
                <w:szCs w:val="20"/>
                <w:lang w:val="pl-PL"/>
              </w:rPr>
              <w:t>y</w:t>
            </w:r>
            <w:r w:rsidRPr="003471BB">
              <w:rPr>
                <w:rFonts w:cs="Arial"/>
                <w:sz w:val="20"/>
                <w:szCs w:val="20"/>
                <w:lang w:val="pl-PL"/>
              </w:rPr>
              <w:t xml:space="preserve"> wydatków na energię</w:t>
            </w:r>
          </w:p>
        </w:tc>
        <w:tc>
          <w:tcPr>
            <w:tcW w:w="661" w:type="dxa"/>
            <w:tcBorders>
              <w:top w:val="dotted" w:sz="4" w:space="0" w:color="auto"/>
              <w:left w:val="single" w:sz="4" w:space="0" w:color="000000"/>
              <w:bottom w:val="dotted" w:sz="4" w:space="0" w:color="auto"/>
            </w:tcBorders>
            <w:vAlign w:val="center"/>
          </w:tcPr>
          <w:p w14:paraId="44E5DB82" w14:textId="3F9DDB5C"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19,</w:t>
            </w:r>
            <w:r w:rsidR="003018C9">
              <w:rPr>
                <w:rFonts w:cs="Arial"/>
                <w:b/>
                <w:sz w:val="20"/>
                <w:szCs w:val="20"/>
                <w:lang w:val="en-GB"/>
              </w:rPr>
              <w:t>5</w:t>
            </w:r>
          </w:p>
        </w:tc>
        <w:tc>
          <w:tcPr>
            <w:tcW w:w="707" w:type="dxa"/>
            <w:vAlign w:val="center"/>
          </w:tcPr>
          <w:p w14:paraId="4122F17A" w14:textId="420C3B58"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19,</w:t>
            </w:r>
            <w:r w:rsidR="003018C9">
              <w:rPr>
                <w:rFonts w:cs="Arial"/>
                <w:b/>
                <w:sz w:val="20"/>
                <w:szCs w:val="20"/>
                <w:lang w:val="en-GB"/>
              </w:rPr>
              <w:t>4</w:t>
            </w:r>
          </w:p>
        </w:tc>
        <w:tc>
          <w:tcPr>
            <w:tcW w:w="708" w:type="dxa"/>
            <w:vAlign w:val="center"/>
          </w:tcPr>
          <w:p w14:paraId="7496BAB2" w14:textId="5F5EFE84"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18,</w:t>
            </w:r>
            <w:r w:rsidR="003018C9">
              <w:rPr>
                <w:rFonts w:cs="Arial"/>
                <w:b/>
                <w:sz w:val="20"/>
                <w:szCs w:val="20"/>
                <w:lang w:val="en-GB"/>
              </w:rPr>
              <w:t>3</w:t>
            </w:r>
          </w:p>
        </w:tc>
        <w:tc>
          <w:tcPr>
            <w:tcW w:w="708" w:type="dxa"/>
            <w:vAlign w:val="center"/>
          </w:tcPr>
          <w:p w14:paraId="558535A6" w14:textId="77777777" w:rsidR="003018C9" w:rsidRPr="0023683F" w:rsidRDefault="003018C9"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18.4</w:t>
            </w:r>
          </w:p>
        </w:tc>
        <w:tc>
          <w:tcPr>
            <w:tcW w:w="694" w:type="dxa"/>
            <w:vAlign w:val="center"/>
          </w:tcPr>
          <w:p w14:paraId="72680C39" w14:textId="389E04AF"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17,</w:t>
            </w:r>
            <w:r w:rsidR="003018C9">
              <w:rPr>
                <w:rFonts w:cs="Arial"/>
                <w:b/>
                <w:sz w:val="20"/>
                <w:szCs w:val="20"/>
                <w:lang w:val="en-GB"/>
              </w:rPr>
              <w:t>9</w:t>
            </w:r>
          </w:p>
        </w:tc>
      </w:tr>
      <w:tr w:rsidR="003018C9" w:rsidRPr="0023683F" w14:paraId="37DE1B39" w14:textId="77777777" w:rsidTr="0017550F">
        <w:tc>
          <w:tcPr>
            <w:tcW w:w="1526" w:type="dxa"/>
          </w:tcPr>
          <w:p w14:paraId="3E345D25" w14:textId="34B8FF49" w:rsidR="003018C9" w:rsidRPr="00680642" w:rsidRDefault="006A1C43" w:rsidP="0017550F">
            <w:pPr>
              <w:autoSpaceDE w:val="0"/>
              <w:autoSpaceDN w:val="0"/>
              <w:adjustRightInd w:val="0"/>
              <w:spacing w:after="0" w:line="276" w:lineRule="auto"/>
              <w:jc w:val="center"/>
              <w:rPr>
                <w:rFonts w:cs="Arial"/>
                <w:b/>
                <w:sz w:val="20"/>
                <w:szCs w:val="20"/>
                <w:lang w:val="en-GB"/>
              </w:rPr>
            </w:pPr>
            <w:r w:rsidRPr="001247FB">
              <w:rPr>
                <w:rFonts w:cs="Arial"/>
                <w:sz w:val="20"/>
                <w:szCs w:val="20"/>
                <w:lang w:val="pl-PL"/>
              </w:rPr>
              <w:t>Ukryte ubóstwo energetyczne</w:t>
            </w:r>
          </w:p>
        </w:tc>
        <w:tc>
          <w:tcPr>
            <w:tcW w:w="4021" w:type="dxa"/>
            <w:tcBorders>
              <w:right w:val="single" w:sz="4" w:space="0" w:color="000000"/>
            </w:tcBorders>
            <w:vAlign w:val="center"/>
          </w:tcPr>
          <w:p w14:paraId="79E6394B" w14:textId="0FA7B5AE" w:rsidR="003018C9" w:rsidRPr="00BC6FBB" w:rsidRDefault="003471BB" w:rsidP="003471BB">
            <w:pPr>
              <w:autoSpaceDE w:val="0"/>
              <w:autoSpaceDN w:val="0"/>
              <w:adjustRightInd w:val="0"/>
              <w:spacing w:after="0" w:line="276" w:lineRule="auto"/>
              <w:jc w:val="center"/>
              <w:rPr>
                <w:rFonts w:cs="Arial"/>
                <w:sz w:val="20"/>
                <w:szCs w:val="20"/>
                <w:lang w:val="pl-PL"/>
              </w:rPr>
            </w:pPr>
            <w:r>
              <w:rPr>
                <w:rFonts w:cs="Arial"/>
                <w:sz w:val="20"/>
                <w:szCs w:val="20"/>
                <w:lang w:val="pl-PL"/>
              </w:rPr>
              <w:t xml:space="preserve">Koszty energii są równe lub niższe </w:t>
            </w:r>
            <w:r w:rsidRPr="003471BB">
              <w:rPr>
                <w:rFonts w:cs="Arial"/>
                <w:sz w:val="20"/>
                <w:szCs w:val="20"/>
                <w:lang w:val="pl-PL"/>
              </w:rPr>
              <w:t xml:space="preserve">od </w:t>
            </w:r>
            <w:r>
              <w:rPr>
                <w:rFonts w:cs="Arial"/>
                <w:sz w:val="20"/>
                <w:szCs w:val="20"/>
                <w:lang w:val="pl-PL"/>
              </w:rPr>
              <w:t xml:space="preserve">połowy </w:t>
            </w:r>
            <w:r w:rsidRPr="003471BB">
              <w:rPr>
                <w:rFonts w:cs="Arial"/>
                <w:sz w:val="20"/>
                <w:szCs w:val="20"/>
                <w:lang w:val="pl-PL"/>
              </w:rPr>
              <w:t>krajowej median</w:t>
            </w:r>
            <w:r>
              <w:rPr>
                <w:rFonts w:cs="Arial"/>
                <w:sz w:val="20"/>
                <w:szCs w:val="20"/>
                <w:lang w:val="pl-PL"/>
              </w:rPr>
              <w:t>y</w:t>
            </w:r>
            <w:r w:rsidRPr="003471BB">
              <w:rPr>
                <w:rFonts w:cs="Arial"/>
                <w:sz w:val="20"/>
                <w:szCs w:val="20"/>
                <w:lang w:val="pl-PL"/>
              </w:rPr>
              <w:t xml:space="preserve"> wydatków na energię</w:t>
            </w:r>
          </w:p>
        </w:tc>
        <w:tc>
          <w:tcPr>
            <w:tcW w:w="661" w:type="dxa"/>
            <w:tcBorders>
              <w:top w:val="dotted" w:sz="4" w:space="0" w:color="auto"/>
              <w:left w:val="single" w:sz="4" w:space="0" w:color="000000"/>
              <w:bottom w:val="dotted" w:sz="4" w:space="0" w:color="auto"/>
            </w:tcBorders>
            <w:vAlign w:val="center"/>
          </w:tcPr>
          <w:p w14:paraId="1030DED2" w14:textId="4CC0CD0D"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21,</w:t>
            </w:r>
            <w:r w:rsidR="003018C9">
              <w:rPr>
                <w:rFonts w:cs="Arial"/>
                <w:b/>
                <w:sz w:val="20"/>
                <w:szCs w:val="20"/>
                <w:lang w:val="en-GB"/>
              </w:rPr>
              <w:t>8</w:t>
            </w:r>
          </w:p>
        </w:tc>
        <w:tc>
          <w:tcPr>
            <w:tcW w:w="707" w:type="dxa"/>
            <w:vAlign w:val="center"/>
          </w:tcPr>
          <w:p w14:paraId="3DE0D968" w14:textId="39C167A1"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21,</w:t>
            </w:r>
            <w:r w:rsidR="003018C9">
              <w:rPr>
                <w:rFonts w:cs="Arial"/>
                <w:b/>
                <w:sz w:val="20"/>
                <w:szCs w:val="20"/>
                <w:lang w:val="en-GB"/>
              </w:rPr>
              <w:t>1</w:t>
            </w:r>
          </w:p>
        </w:tc>
        <w:tc>
          <w:tcPr>
            <w:tcW w:w="708" w:type="dxa"/>
            <w:vAlign w:val="center"/>
          </w:tcPr>
          <w:p w14:paraId="760150AE" w14:textId="46BCC4DA"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20,</w:t>
            </w:r>
            <w:r w:rsidR="003018C9">
              <w:rPr>
                <w:rFonts w:cs="Arial"/>
                <w:b/>
                <w:sz w:val="20"/>
                <w:szCs w:val="20"/>
                <w:lang w:val="en-GB"/>
              </w:rPr>
              <w:t>7</w:t>
            </w:r>
          </w:p>
        </w:tc>
        <w:tc>
          <w:tcPr>
            <w:tcW w:w="708" w:type="dxa"/>
            <w:vAlign w:val="center"/>
          </w:tcPr>
          <w:p w14:paraId="2B81249D" w14:textId="6F60DAFF"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20,</w:t>
            </w:r>
            <w:r w:rsidR="003018C9">
              <w:rPr>
                <w:rFonts w:cs="Arial"/>
                <w:b/>
                <w:sz w:val="20"/>
                <w:szCs w:val="20"/>
                <w:lang w:val="en-GB"/>
              </w:rPr>
              <w:t>6</w:t>
            </w:r>
          </w:p>
        </w:tc>
        <w:tc>
          <w:tcPr>
            <w:tcW w:w="694" w:type="dxa"/>
            <w:vAlign w:val="center"/>
          </w:tcPr>
          <w:p w14:paraId="14666930" w14:textId="636A85C6"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21,</w:t>
            </w:r>
            <w:r w:rsidR="003018C9">
              <w:rPr>
                <w:rFonts w:cs="Arial"/>
                <w:b/>
                <w:sz w:val="20"/>
                <w:szCs w:val="20"/>
                <w:lang w:val="en-GB"/>
              </w:rPr>
              <w:t>0</w:t>
            </w:r>
          </w:p>
        </w:tc>
      </w:tr>
      <w:tr w:rsidR="003018C9" w:rsidRPr="0023683F" w14:paraId="6BAAC851" w14:textId="77777777" w:rsidTr="0017550F">
        <w:tc>
          <w:tcPr>
            <w:tcW w:w="1526" w:type="dxa"/>
          </w:tcPr>
          <w:p w14:paraId="5EC729CE" w14:textId="19EA6142" w:rsidR="003018C9" w:rsidRPr="00BC6FBB" w:rsidRDefault="006A1C43" w:rsidP="0017550F">
            <w:pPr>
              <w:autoSpaceDE w:val="0"/>
              <w:autoSpaceDN w:val="0"/>
              <w:adjustRightInd w:val="0"/>
              <w:spacing w:after="0" w:line="276" w:lineRule="auto"/>
              <w:jc w:val="center"/>
              <w:rPr>
                <w:rFonts w:cs="Arial"/>
                <w:b/>
                <w:sz w:val="20"/>
                <w:szCs w:val="20"/>
                <w:lang w:val="pl-PL"/>
              </w:rPr>
            </w:pPr>
            <w:r w:rsidRPr="001247FB">
              <w:rPr>
                <w:rFonts w:cs="Arial"/>
                <w:sz w:val="20"/>
                <w:szCs w:val="20"/>
                <w:lang w:val="pl-PL"/>
              </w:rPr>
              <w:t>Zdolność do terminowego opłacania rachunków</w:t>
            </w:r>
          </w:p>
        </w:tc>
        <w:tc>
          <w:tcPr>
            <w:tcW w:w="4021" w:type="dxa"/>
            <w:tcBorders>
              <w:right w:val="single" w:sz="4" w:space="0" w:color="000000"/>
            </w:tcBorders>
            <w:vAlign w:val="center"/>
          </w:tcPr>
          <w:p w14:paraId="199BA459" w14:textId="089E32D0" w:rsidR="003018C9" w:rsidRPr="003471BB" w:rsidRDefault="003471BB" w:rsidP="003471BB">
            <w:pPr>
              <w:autoSpaceDE w:val="0"/>
              <w:autoSpaceDN w:val="0"/>
              <w:adjustRightInd w:val="0"/>
              <w:spacing w:after="0" w:line="276" w:lineRule="auto"/>
              <w:jc w:val="center"/>
              <w:rPr>
                <w:rFonts w:cs="Arial"/>
                <w:sz w:val="20"/>
                <w:szCs w:val="20"/>
                <w:lang w:val="pl-PL"/>
              </w:rPr>
            </w:pPr>
            <w:r w:rsidRPr="003471BB">
              <w:rPr>
                <w:rFonts w:cs="Arial"/>
                <w:sz w:val="20"/>
                <w:szCs w:val="20"/>
                <w:lang w:val="pl-PL"/>
              </w:rPr>
              <w:t>Problemy z zaległościami na rachunkach za energię lub niezdolność do ich opłacania</w:t>
            </w:r>
          </w:p>
        </w:tc>
        <w:tc>
          <w:tcPr>
            <w:tcW w:w="661" w:type="dxa"/>
            <w:tcBorders>
              <w:top w:val="dotted" w:sz="4" w:space="0" w:color="auto"/>
              <w:left w:val="single" w:sz="4" w:space="0" w:color="000000"/>
              <w:bottom w:val="dotted" w:sz="4" w:space="0" w:color="auto"/>
            </w:tcBorders>
            <w:vAlign w:val="center"/>
          </w:tcPr>
          <w:p w14:paraId="02FC9C03" w14:textId="1ED21F5A"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b</w:t>
            </w:r>
            <w:r w:rsidR="003018C9">
              <w:rPr>
                <w:rFonts w:cs="Arial"/>
                <w:b/>
                <w:sz w:val="20"/>
                <w:szCs w:val="20"/>
                <w:lang w:val="en-GB"/>
              </w:rPr>
              <w:t>/</w:t>
            </w:r>
            <w:r>
              <w:rPr>
                <w:rFonts w:cs="Arial"/>
                <w:b/>
                <w:sz w:val="20"/>
                <w:szCs w:val="20"/>
                <w:lang w:val="en-GB"/>
              </w:rPr>
              <w:t>d</w:t>
            </w:r>
          </w:p>
        </w:tc>
        <w:tc>
          <w:tcPr>
            <w:tcW w:w="707" w:type="dxa"/>
            <w:vAlign w:val="center"/>
          </w:tcPr>
          <w:p w14:paraId="2FF9E2FA" w14:textId="1E6F5A64"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b</w:t>
            </w:r>
            <w:r w:rsidR="003018C9">
              <w:rPr>
                <w:rFonts w:cs="Arial"/>
                <w:b/>
                <w:sz w:val="20"/>
                <w:szCs w:val="20"/>
                <w:lang w:val="en-GB"/>
              </w:rPr>
              <w:t>/</w:t>
            </w:r>
            <w:r>
              <w:rPr>
                <w:rFonts w:cs="Arial"/>
                <w:b/>
                <w:sz w:val="20"/>
                <w:szCs w:val="20"/>
                <w:lang w:val="en-GB"/>
              </w:rPr>
              <w:t>d</w:t>
            </w:r>
          </w:p>
        </w:tc>
        <w:tc>
          <w:tcPr>
            <w:tcW w:w="708" w:type="dxa"/>
            <w:vAlign w:val="center"/>
          </w:tcPr>
          <w:p w14:paraId="20855A08" w14:textId="7CE9C722"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4,</w:t>
            </w:r>
            <w:r w:rsidR="003018C9">
              <w:rPr>
                <w:rFonts w:cs="Arial"/>
                <w:b/>
                <w:sz w:val="20"/>
                <w:szCs w:val="20"/>
                <w:lang w:val="en-GB"/>
              </w:rPr>
              <w:t>9</w:t>
            </w:r>
          </w:p>
        </w:tc>
        <w:tc>
          <w:tcPr>
            <w:tcW w:w="708" w:type="dxa"/>
            <w:vAlign w:val="center"/>
          </w:tcPr>
          <w:p w14:paraId="36DB9AC8" w14:textId="2DDD737A"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3,</w:t>
            </w:r>
            <w:r w:rsidR="003018C9">
              <w:rPr>
                <w:rFonts w:cs="Arial"/>
                <w:b/>
                <w:sz w:val="20"/>
                <w:szCs w:val="20"/>
                <w:lang w:val="en-GB"/>
              </w:rPr>
              <w:t>6</w:t>
            </w:r>
          </w:p>
        </w:tc>
        <w:tc>
          <w:tcPr>
            <w:tcW w:w="694" w:type="dxa"/>
            <w:vAlign w:val="center"/>
          </w:tcPr>
          <w:p w14:paraId="21CDB523" w14:textId="34C00E6B"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2,</w:t>
            </w:r>
            <w:r w:rsidR="003018C9">
              <w:rPr>
                <w:rFonts w:cs="Arial"/>
                <w:b/>
                <w:sz w:val="20"/>
                <w:szCs w:val="20"/>
                <w:lang w:val="en-GB"/>
              </w:rPr>
              <w:t>7</w:t>
            </w:r>
          </w:p>
        </w:tc>
      </w:tr>
      <w:tr w:rsidR="003018C9" w:rsidRPr="0023683F" w14:paraId="4041416E" w14:textId="77777777" w:rsidTr="0017550F">
        <w:tc>
          <w:tcPr>
            <w:tcW w:w="1526" w:type="dxa"/>
          </w:tcPr>
          <w:p w14:paraId="11D3CC02" w14:textId="249DA2D0" w:rsidR="003018C9" w:rsidRPr="00BC6FBB" w:rsidRDefault="006A1C43" w:rsidP="0017550F">
            <w:pPr>
              <w:autoSpaceDE w:val="0"/>
              <w:autoSpaceDN w:val="0"/>
              <w:adjustRightInd w:val="0"/>
              <w:spacing w:after="0" w:line="276" w:lineRule="auto"/>
              <w:jc w:val="center"/>
              <w:rPr>
                <w:rFonts w:cs="Arial"/>
                <w:b/>
                <w:sz w:val="20"/>
                <w:szCs w:val="20"/>
                <w:lang w:val="pl-PL"/>
              </w:rPr>
            </w:pPr>
            <w:r w:rsidRPr="001247FB">
              <w:rPr>
                <w:rFonts w:cs="Arial"/>
                <w:sz w:val="20"/>
                <w:szCs w:val="20"/>
                <w:lang w:val="pl-PL"/>
              </w:rPr>
              <w:t>Budynek z przeciekającym dachem, zawilgoconymi ścianami, podłogami, fundamentami, butwiejącymi oknami lub podłogami</w:t>
            </w:r>
          </w:p>
        </w:tc>
        <w:tc>
          <w:tcPr>
            <w:tcW w:w="4021" w:type="dxa"/>
            <w:tcBorders>
              <w:right w:val="single" w:sz="4" w:space="0" w:color="000000"/>
            </w:tcBorders>
            <w:vAlign w:val="center"/>
          </w:tcPr>
          <w:p w14:paraId="05461084" w14:textId="5B096CDD" w:rsidR="003018C9" w:rsidRPr="003471BB" w:rsidRDefault="003471BB" w:rsidP="0017550F">
            <w:pPr>
              <w:autoSpaceDE w:val="0"/>
              <w:autoSpaceDN w:val="0"/>
              <w:adjustRightInd w:val="0"/>
              <w:spacing w:after="0" w:line="276" w:lineRule="auto"/>
              <w:jc w:val="center"/>
              <w:rPr>
                <w:rFonts w:cs="Arial"/>
                <w:sz w:val="20"/>
                <w:szCs w:val="20"/>
                <w:lang w:val="pl-PL"/>
              </w:rPr>
            </w:pPr>
            <w:r w:rsidRPr="003471BB">
              <w:rPr>
                <w:rFonts w:cs="Arial"/>
                <w:sz w:val="20"/>
                <w:szCs w:val="20"/>
                <w:lang w:val="pl-PL"/>
              </w:rPr>
              <w:t>Problemy z charakterystyką budynku</w:t>
            </w:r>
          </w:p>
        </w:tc>
        <w:tc>
          <w:tcPr>
            <w:tcW w:w="661" w:type="dxa"/>
            <w:tcBorders>
              <w:top w:val="dotted" w:sz="4" w:space="0" w:color="auto"/>
              <w:left w:val="single" w:sz="4" w:space="0" w:color="000000"/>
              <w:bottom w:val="dotted" w:sz="4" w:space="0" w:color="auto"/>
            </w:tcBorders>
            <w:vAlign w:val="center"/>
          </w:tcPr>
          <w:p w14:paraId="6BF45CBC" w14:textId="30FD060B"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10,</w:t>
            </w:r>
            <w:r w:rsidR="003018C9">
              <w:rPr>
                <w:rFonts w:cs="Arial"/>
                <w:b/>
                <w:sz w:val="20"/>
                <w:szCs w:val="20"/>
                <w:lang w:val="en-GB"/>
              </w:rPr>
              <w:t>5</w:t>
            </w:r>
          </w:p>
        </w:tc>
        <w:tc>
          <w:tcPr>
            <w:tcW w:w="707" w:type="dxa"/>
            <w:vAlign w:val="center"/>
          </w:tcPr>
          <w:p w14:paraId="18968EC3" w14:textId="55977985"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9,</w:t>
            </w:r>
            <w:r w:rsidR="003018C9">
              <w:rPr>
                <w:rFonts w:cs="Arial"/>
                <w:b/>
                <w:sz w:val="20"/>
                <w:szCs w:val="20"/>
                <w:lang w:val="en-GB"/>
              </w:rPr>
              <w:t>6</w:t>
            </w:r>
          </w:p>
        </w:tc>
        <w:tc>
          <w:tcPr>
            <w:tcW w:w="708" w:type="dxa"/>
            <w:vAlign w:val="center"/>
          </w:tcPr>
          <w:p w14:paraId="62EF890F" w14:textId="440B5078"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9,</w:t>
            </w:r>
            <w:r w:rsidR="003018C9">
              <w:rPr>
                <w:rFonts w:cs="Arial"/>
                <w:b/>
                <w:sz w:val="20"/>
                <w:szCs w:val="20"/>
                <w:lang w:val="en-GB"/>
              </w:rPr>
              <w:t>0</w:t>
            </w:r>
          </w:p>
        </w:tc>
        <w:tc>
          <w:tcPr>
            <w:tcW w:w="708" w:type="dxa"/>
            <w:vAlign w:val="center"/>
          </w:tcPr>
          <w:p w14:paraId="1A69E376" w14:textId="62CA14D7"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8,</w:t>
            </w:r>
            <w:r w:rsidR="003018C9">
              <w:rPr>
                <w:rFonts w:cs="Arial"/>
                <w:b/>
                <w:sz w:val="20"/>
                <w:szCs w:val="20"/>
                <w:lang w:val="en-GB"/>
              </w:rPr>
              <w:t>2</w:t>
            </w:r>
          </w:p>
        </w:tc>
        <w:tc>
          <w:tcPr>
            <w:tcW w:w="694" w:type="dxa"/>
            <w:vAlign w:val="center"/>
          </w:tcPr>
          <w:p w14:paraId="6B47E5A1" w14:textId="400514C5"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7,</w:t>
            </w:r>
            <w:r w:rsidR="003018C9">
              <w:rPr>
                <w:rFonts w:cs="Arial"/>
                <w:b/>
                <w:sz w:val="20"/>
                <w:szCs w:val="20"/>
                <w:lang w:val="en-GB"/>
              </w:rPr>
              <w:t>7</w:t>
            </w:r>
          </w:p>
        </w:tc>
      </w:tr>
      <w:tr w:rsidR="003018C9" w:rsidRPr="0023683F" w14:paraId="3F99C3B3" w14:textId="77777777" w:rsidTr="0017550F">
        <w:tc>
          <w:tcPr>
            <w:tcW w:w="1526" w:type="dxa"/>
          </w:tcPr>
          <w:p w14:paraId="22780130" w14:textId="4F56149C" w:rsidR="003018C9" w:rsidRPr="00680642" w:rsidRDefault="006A1C43" w:rsidP="0017550F">
            <w:pPr>
              <w:autoSpaceDE w:val="0"/>
              <w:autoSpaceDN w:val="0"/>
              <w:adjustRightInd w:val="0"/>
              <w:spacing w:after="0" w:line="276" w:lineRule="auto"/>
              <w:jc w:val="center"/>
              <w:rPr>
                <w:rFonts w:cs="Arial"/>
                <w:b/>
                <w:sz w:val="20"/>
                <w:szCs w:val="20"/>
                <w:lang w:val="en-GB"/>
              </w:rPr>
            </w:pPr>
            <w:r w:rsidRPr="001247FB">
              <w:rPr>
                <w:rFonts w:cs="Arial"/>
                <w:sz w:val="20"/>
                <w:szCs w:val="20"/>
                <w:lang w:val="pl-PL"/>
              </w:rPr>
              <w:t>Niewystarczający komfort cieplny</w:t>
            </w:r>
          </w:p>
        </w:tc>
        <w:tc>
          <w:tcPr>
            <w:tcW w:w="4021" w:type="dxa"/>
            <w:tcBorders>
              <w:right w:val="single" w:sz="4" w:space="0" w:color="000000"/>
            </w:tcBorders>
            <w:vAlign w:val="center"/>
          </w:tcPr>
          <w:p w14:paraId="70D25B50" w14:textId="6FD8D57F" w:rsidR="003018C9" w:rsidRPr="003471BB" w:rsidRDefault="003471BB" w:rsidP="0017550F">
            <w:pPr>
              <w:autoSpaceDE w:val="0"/>
              <w:autoSpaceDN w:val="0"/>
              <w:adjustRightInd w:val="0"/>
              <w:spacing w:after="0" w:line="276" w:lineRule="auto"/>
              <w:jc w:val="center"/>
              <w:rPr>
                <w:rFonts w:cs="Arial"/>
                <w:sz w:val="20"/>
                <w:szCs w:val="20"/>
                <w:lang w:val="pl-PL"/>
              </w:rPr>
            </w:pPr>
            <w:r w:rsidRPr="003471BB">
              <w:rPr>
                <w:rFonts w:cs="Arial"/>
                <w:sz w:val="20"/>
                <w:szCs w:val="20"/>
                <w:lang w:val="pl-PL"/>
              </w:rPr>
              <w:t>Zadeklarowana niezdolność do wyst</w:t>
            </w:r>
            <w:r>
              <w:rPr>
                <w:rFonts w:cs="Arial"/>
                <w:sz w:val="20"/>
                <w:szCs w:val="20"/>
                <w:lang w:val="pl-PL"/>
              </w:rPr>
              <w:t>arczając</w:t>
            </w:r>
            <w:r w:rsidRPr="003471BB">
              <w:rPr>
                <w:rFonts w:cs="Arial"/>
                <w:sz w:val="20"/>
                <w:szCs w:val="20"/>
                <w:lang w:val="pl-PL"/>
              </w:rPr>
              <w:t>ego ogrzania domu</w:t>
            </w:r>
          </w:p>
        </w:tc>
        <w:tc>
          <w:tcPr>
            <w:tcW w:w="661" w:type="dxa"/>
            <w:tcBorders>
              <w:top w:val="dotted" w:sz="4" w:space="0" w:color="auto"/>
              <w:left w:val="single" w:sz="4" w:space="0" w:color="000000"/>
              <w:bottom w:val="single" w:sz="4" w:space="0" w:color="000000"/>
            </w:tcBorders>
            <w:vAlign w:val="center"/>
          </w:tcPr>
          <w:p w14:paraId="5105F3D6" w14:textId="53E721F9"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13,</w:t>
            </w:r>
            <w:r w:rsidR="003018C9">
              <w:rPr>
                <w:rFonts w:cs="Arial"/>
                <w:b/>
                <w:sz w:val="20"/>
                <w:szCs w:val="20"/>
                <w:lang w:val="en-GB"/>
              </w:rPr>
              <w:t>1</w:t>
            </w:r>
          </w:p>
        </w:tc>
        <w:tc>
          <w:tcPr>
            <w:tcW w:w="707" w:type="dxa"/>
            <w:vAlign w:val="center"/>
          </w:tcPr>
          <w:p w14:paraId="6C68489C" w14:textId="21CF0623"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11,</w:t>
            </w:r>
            <w:r w:rsidR="003018C9">
              <w:rPr>
                <w:rFonts w:cs="Arial"/>
                <w:b/>
                <w:sz w:val="20"/>
                <w:szCs w:val="20"/>
                <w:lang w:val="en-GB"/>
              </w:rPr>
              <w:t>9</w:t>
            </w:r>
          </w:p>
        </w:tc>
        <w:tc>
          <w:tcPr>
            <w:tcW w:w="708" w:type="dxa"/>
            <w:vAlign w:val="center"/>
          </w:tcPr>
          <w:p w14:paraId="77B669C7" w14:textId="7BB1D91A" w:rsidR="003018C9" w:rsidRPr="0023683F" w:rsidRDefault="003018C9"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11</w:t>
            </w:r>
            <w:r w:rsidR="006A1C43">
              <w:rPr>
                <w:rFonts w:cs="Arial"/>
                <w:b/>
                <w:sz w:val="20"/>
                <w:szCs w:val="20"/>
                <w:lang w:val="en-GB"/>
              </w:rPr>
              <w:t>,</w:t>
            </w:r>
            <w:r>
              <w:rPr>
                <w:rFonts w:cs="Arial"/>
                <w:b/>
                <w:sz w:val="20"/>
                <w:szCs w:val="20"/>
                <w:lang w:val="en-GB"/>
              </w:rPr>
              <w:t>2</w:t>
            </w:r>
          </w:p>
        </w:tc>
        <w:tc>
          <w:tcPr>
            <w:tcW w:w="708" w:type="dxa"/>
            <w:vAlign w:val="center"/>
          </w:tcPr>
          <w:p w14:paraId="2C04E0B8" w14:textId="5AD41BF2"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10,</w:t>
            </w:r>
            <w:r w:rsidR="003018C9">
              <w:rPr>
                <w:rFonts w:cs="Arial"/>
                <w:b/>
                <w:sz w:val="20"/>
                <w:szCs w:val="20"/>
                <w:lang w:val="en-GB"/>
              </w:rPr>
              <w:t>7</w:t>
            </w:r>
          </w:p>
        </w:tc>
        <w:tc>
          <w:tcPr>
            <w:tcW w:w="694" w:type="dxa"/>
            <w:vAlign w:val="center"/>
          </w:tcPr>
          <w:p w14:paraId="522DBC33" w14:textId="52F88319" w:rsidR="003018C9" w:rsidRPr="0023683F" w:rsidRDefault="006A1C43" w:rsidP="0017550F">
            <w:pPr>
              <w:autoSpaceDE w:val="0"/>
              <w:autoSpaceDN w:val="0"/>
              <w:adjustRightInd w:val="0"/>
              <w:spacing w:after="0" w:line="276" w:lineRule="auto"/>
              <w:jc w:val="center"/>
              <w:rPr>
                <w:rFonts w:cs="Arial"/>
                <w:b/>
                <w:sz w:val="20"/>
                <w:szCs w:val="20"/>
                <w:lang w:val="en-GB"/>
              </w:rPr>
            </w:pPr>
            <w:r>
              <w:rPr>
                <w:rFonts w:cs="Arial"/>
                <w:b/>
                <w:sz w:val="20"/>
                <w:szCs w:val="20"/>
                <w:lang w:val="en-GB"/>
              </w:rPr>
              <w:t>10,</w:t>
            </w:r>
            <w:r w:rsidR="003018C9">
              <w:rPr>
                <w:rFonts w:cs="Arial"/>
                <w:b/>
                <w:sz w:val="20"/>
                <w:szCs w:val="20"/>
                <w:lang w:val="en-GB"/>
              </w:rPr>
              <w:t>0</w:t>
            </w:r>
          </w:p>
        </w:tc>
      </w:tr>
    </w:tbl>
    <w:p w14:paraId="08F57555" w14:textId="77777777" w:rsidR="003018C9" w:rsidRPr="003018C9" w:rsidRDefault="003018C9" w:rsidP="006D30DB">
      <w:pPr>
        <w:pStyle w:val="Akapitzlist"/>
        <w:autoSpaceDE w:val="0"/>
        <w:autoSpaceDN w:val="0"/>
        <w:adjustRightInd w:val="0"/>
        <w:spacing w:after="0"/>
        <w:ind w:left="560"/>
        <w:rPr>
          <w:rFonts w:cs="Arial"/>
          <w:b/>
          <w:sz w:val="20"/>
          <w:szCs w:val="20"/>
          <w:u w:val="single"/>
          <w:lang w:val="en-GB"/>
        </w:rPr>
      </w:pPr>
    </w:p>
    <w:p w14:paraId="7BA27FC9" w14:textId="4146AEAB" w:rsidR="000D082D" w:rsidRPr="00A85D84" w:rsidRDefault="00A85D84" w:rsidP="00D9053C">
      <w:pPr>
        <w:pStyle w:val="Normal1"/>
        <w:rPr>
          <w:rFonts w:cs="Times New Roman"/>
          <w:b/>
          <w:sz w:val="28"/>
          <w:szCs w:val="28"/>
          <w:highlight w:val="yellow"/>
        </w:rPr>
      </w:pPr>
      <w:r w:rsidRPr="00A85D84">
        <w:rPr>
          <w:b/>
        </w:rPr>
        <w:t>Tabela</w:t>
      </w:r>
      <w:r w:rsidR="000D082D" w:rsidRPr="00A85D84">
        <w:rPr>
          <w:b/>
        </w:rPr>
        <w:t xml:space="preserve"> … </w:t>
      </w:r>
      <w:r w:rsidRPr="00A85D84">
        <w:rPr>
          <w:b/>
          <w:szCs w:val="20"/>
        </w:rPr>
        <w:t>Wyniki dla subpopulacji wskaźnika Wysokie Koszty, Niskie Dochody</w:t>
      </w:r>
    </w:p>
    <w:tbl>
      <w:tblPr>
        <w:tblStyle w:val="Tabela-Siatka"/>
        <w:tblW w:w="0" w:type="auto"/>
        <w:tblBorders>
          <w:insideH w:val="dotted" w:sz="4" w:space="0" w:color="auto"/>
          <w:insideV w:val="dotted" w:sz="4" w:space="0" w:color="auto"/>
        </w:tblBorders>
        <w:tblLook w:val="04A0" w:firstRow="1" w:lastRow="0" w:firstColumn="1" w:lastColumn="0" w:noHBand="0" w:noVBand="1"/>
      </w:tblPr>
      <w:tblGrid>
        <w:gridCol w:w="2344"/>
        <w:gridCol w:w="3883"/>
        <w:gridCol w:w="1398"/>
        <w:gridCol w:w="1174"/>
      </w:tblGrid>
      <w:tr w:rsidR="00D000C6" w14:paraId="0CE47D8A" w14:textId="77777777" w:rsidTr="00D000C6">
        <w:tc>
          <w:tcPr>
            <w:tcW w:w="6227" w:type="dxa"/>
            <w:gridSpan w:val="2"/>
            <w:tcBorders>
              <w:top w:val="single" w:sz="4" w:space="0" w:color="000000" w:themeColor="text1"/>
              <w:bottom w:val="single" w:sz="4" w:space="0" w:color="000000" w:themeColor="text1"/>
              <w:right w:val="single" w:sz="4" w:space="0" w:color="000000" w:themeColor="text1"/>
            </w:tcBorders>
            <w:shd w:val="clear" w:color="auto" w:fill="FFFF00"/>
            <w:vAlign w:val="center"/>
          </w:tcPr>
          <w:p w14:paraId="2A92E363" w14:textId="6A0584B8" w:rsidR="00D000C6" w:rsidRPr="003471BB" w:rsidRDefault="003471BB" w:rsidP="000D082D">
            <w:pPr>
              <w:autoSpaceDE w:val="0"/>
              <w:autoSpaceDN w:val="0"/>
              <w:adjustRightInd w:val="0"/>
              <w:spacing w:after="0" w:line="276" w:lineRule="auto"/>
              <w:jc w:val="center"/>
              <w:rPr>
                <w:rFonts w:cs="Arial"/>
                <w:b/>
                <w:sz w:val="20"/>
                <w:szCs w:val="20"/>
                <w:lang w:val="pl-PL"/>
              </w:rPr>
            </w:pPr>
            <w:r w:rsidRPr="003471BB">
              <w:rPr>
                <w:rFonts w:cs="Arial"/>
                <w:b/>
                <w:sz w:val="20"/>
                <w:szCs w:val="20"/>
                <w:lang w:val="pl-PL"/>
              </w:rPr>
              <w:t>Wysokie Koszty, Niskie Dochody</w:t>
            </w:r>
          </w:p>
        </w:tc>
        <w:tc>
          <w:tcPr>
            <w:tcW w:w="1398" w:type="dxa"/>
            <w:tcBorders>
              <w:top w:val="single" w:sz="4" w:space="0" w:color="000000" w:themeColor="text1"/>
              <w:left w:val="single" w:sz="4" w:space="0" w:color="000000" w:themeColor="text1"/>
              <w:bottom w:val="single" w:sz="4" w:space="0" w:color="000000" w:themeColor="text1"/>
            </w:tcBorders>
            <w:shd w:val="clear" w:color="auto" w:fill="FFFF00"/>
          </w:tcPr>
          <w:p w14:paraId="602A236E" w14:textId="7415B865"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Wartość</w:t>
            </w:r>
          </w:p>
        </w:tc>
        <w:tc>
          <w:tcPr>
            <w:tcW w:w="1174" w:type="dxa"/>
            <w:tcBorders>
              <w:top w:val="single" w:sz="4" w:space="0" w:color="000000" w:themeColor="text1"/>
              <w:bottom w:val="single" w:sz="4" w:space="0" w:color="000000" w:themeColor="text1"/>
            </w:tcBorders>
            <w:shd w:val="clear" w:color="auto" w:fill="FFFF00"/>
          </w:tcPr>
          <w:p w14:paraId="4B9E2454" w14:textId="16CC1B5A"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Udział [%]</w:t>
            </w:r>
          </w:p>
        </w:tc>
      </w:tr>
      <w:tr w:rsidR="00A31350" w14:paraId="7DD86B7C" w14:textId="77777777" w:rsidTr="00D000C6">
        <w:tc>
          <w:tcPr>
            <w:tcW w:w="6227" w:type="dxa"/>
            <w:gridSpan w:val="2"/>
            <w:tcBorders>
              <w:top w:val="single" w:sz="4" w:space="0" w:color="000000" w:themeColor="text1"/>
              <w:bottom w:val="dotted" w:sz="4" w:space="0" w:color="auto"/>
              <w:right w:val="single" w:sz="4" w:space="0" w:color="000000" w:themeColor="text1"/>
            </w:tcBorders>
            <w:vAlign w:val="center"/>
          </w:tcPr>
          <w:p w14:paraId="34B0D480" w14:textId="3A9D46FF" w:rsidR="00A31350" w:rsidRDefault="00A31350"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Gospodarstwa domowe</w:t>
            </w:r>
          </w:p>
        </w:tc>
        <w:tc>
          <w:tcPr>
            <w:tcW w:w="1398" w:type="dxa"/>
            <w:tcBorders>
              <w:top w:val="single" w:sz="4" w:space="0" w:color="000000" w:themeColor="text1"/>
              <w:left w:val="single" w:sz="4" w:space="0" w:color="000000" w:themeColor="text1"/>
            </w:tcBorders>
          </w:tcPr>
          <w:p w14:paraId="7ED50345" w14:textId="51C70AD5" w:rsidR="00A31350" w:rsidRPr="00A30F4F"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1 278 336</w:t>
            </w:r>
          </w:p>
        </w:tc>
        <w:tc>
          <w:tcPr>
            <w:tcW w:w="1174" w:type="dxa"/>
            <w:tcBorders>
              <w:top w:val="single" w:sz="4" w:space="0" w:color="000000" w:themeColor="text1"/>
            </w:tcBorders>
          </w:tcPr>
          <w:p w14:paraId="4CEB66ED" w14:textId="386DDA23" w:rsidR="00A31350" w:rsidRPr="00A30F4F"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9,6</w:t>
            </w:r>
          </w:p>
        </w:tc>
      </w:tr>
      <w:tr w:rsidR="00A31350" w14:paraId="3FAFD14B" w14:textId="77777777" w:rsidTr="00D000C6">
        <w:tc>
          <w:tcPr>
            <w:tcW w:w="6227" w:type="dxa"/>
            <w:gridSpan w:val="2"/>
            <w:tcBorders>
              <w:top w:val="dotted" w:sz="4" w:space="0" w:color="auto"/>
              <w:bottom w:val="dotted" w:sz="4" w:space="0" w:color="auto"/>
              <w:right w:val="single" w:sz="4" w:space="0" w:color="000000" w:themeColor="text1"/>
            </w:tcBorders>
            <w:vAlign w:val="center"/>
          </w:tcPr>
          <w:p w14:paraId="72A068A2" w14:textId="34F4003D" w:rsidR="00A31350" w:rsidRDefault="00A31350"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jednorodzinne</w:t>
            </w:r>
          </w:p>
        </w:tc>
        <w:tc>
          <w:tcPr>
            <w:tcW w:w="1398" w:type="dxa"/>
            <w:tcBorders>
              <w:left w:val="single" w:sz="4" w:space="0" w:color="000000" w:themeColor="text1"/>
              <w:bottom w:val="dotted" w:sz="4" w:space="0" w:color="auto"/>
            </w:tcBorders>
          </w:tcPr>
          <w:p w14:paraId="0EDB00F8" w14:textId="51275A75" w:rsidR="00A31350" w:rsidRPr="00A30F4F"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819 636</w:t>
            </w:r>
          </w:p>
        </w:tc>
        <w:tc>
          <w:tcPr>
            <w:tcW w:w="1174" w:type="dxa"/>
            <w:tcBorders>
              <w:bottom w:val="dotted" w:sz="4" w:space="0" w:color="auto"/>
            </w:tcBorders>
          </w:tcPr>
          <w:p w14:paraId="02C0F626" w14:textId="2E7CC677" w:rsidR="00A31350" w:rsidRPr="00A30F4F"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13,8</w:t>
            </w:r>
          </w:p>
        </w:tc>
      </w:tr>
      <w:tr w:rsidR="00A31350" w14:paraId="395302EA" w14:textId="77777777" w:rsidTr="00D000C6">
        <w:tc>
          <w:tcPr>
            <w:tcW w:w="6227" w:type="dxa"/>
            <w:gridSpan w:val="2"/>
            <w:tcBorders>
              <w:top w:val="dotted" w:sz="4" w:space="0" w:color="auto"/>
              <w:bottom w:val="single" w:sz="4" w:space="0" w:color="000000" w:themeColor="text1"/>
              <w:right w:val="single" w:sz="4" w:space="0" w:color="000000" w:themeColor="text1"/>
            </w:tcBorders>
            <w:vAlign w:val="center"/>
          </w:tcPr>
          <w:p w14:paraId="56FCFAA5" w14:textId="6C80411C" w:rsidR="00A31350" w:rsidRDefault="00A31350"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wielorodzinne</w:t>
            </w:r>
          </w:p>
        </w:tc>
        <w:tc>
          <w:tcPr>
            <w:tcW w:w="1398" w:type="dxa"/>
            <w:tcBorders>
              <w:top w:val="dotted" w:sz="4" w:space="0" w:color="auto"/>
              <w:left w:val="single" w:sz="4" w:space="0" w:color="000000" w:themeColor="text1"/>
              <w:bottom w:val="single" w:sz="4" w:space="0" w:color="000000" w:themeColor="text1"/>
            </w:tcBorders>
          </w:tcPr>
          <w:p w14:paraId="422878F6" w14:textId="0630D698" w:rsidR="00A31350" w:rsidRPr="00A30F4F"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458 700</w:t>
            </w:r>
          </w:p>
        </w:tc>
        <w:tc>
          <w:tcPr>
            <w:tcW w:w="1174" w:type="dxa"/>
            <w:tcBorders>
              <w:top w:val="dotted" w:sz="4" w:space="0" w:color="auto"/>
              <w:bottom w:val="single" w:sz="4" w:space="0" w:color="000000" w:themeColor="text1"/>
            </w:tcBorders>
          </w:tcPr>
          <w:p w14:paraId="25B55A39" w14:textId="58D38A0D" w:rsidR="00A31350" w:rsidRPr="00A30F4F" w:rsidRDefault="00A31350" w:rsidP="000D082D">
            <w:pPr>
              <w:autoSpaceDE w:val="0"/>
              <w:autoSpaceDN w:val="0"/>
              <w:adjustRightInd w:val="0"/>
              <w:spacing w:after="0" w:line="276" w:lineRule="auto"/>
              <w:jc w:val="center"/>
              <w:rPr>
                <w:rFonts w:cs="Arial"/>
                <w:sz w:val="20"/>
                <w:szCs w:val="20"/>
                <w:lang w:val="en-GB"/>
              </w:rPr>
            </w:pPr>
            <w:r w:rsidRPr="00A30F4F">
              <w:rPr>
                <w:rFonts w:cs="Arial"/>
                <w:sz w:val="20"/>
                <w:szCs w:val="20"/>
              </w:rPr>
              <w:t>6</w:t>
            </w:r>
            <w:r>
              <w:rPr>
                <w:rFonts w:cs="Arial"/>
                <w:sz w:val="20"/>
                <w:szCs w:val="20"/>
              </w:rPr>
              <w:t>,</w:t>
            </w:r>
            <w:r w:rsidRPr="00A30F4F">
              <w:rPr>
                <w:rFonts w:cs="Arial"/>
                <w:sz w:val="20"/>
                <w:szCs w:val="20"/>
              </w:rPr>
              <w:t>2</w:t>
            </w:r>
          </w:p>
        </w:tc>
      </w:tr>
      <w:tr w:rsidR="00A31350" w:rsidRPr="000D59EA" w14:paraId="3A562B21" w14:textId="77777777" w:rsidTr="00BC6FBB">
        <w:tc>
          <w:tcPr>
            <w:tcW w:w="2344" w:type="dxa"/>
            <w:vMerge w:val="restart"/>
            <w:tcBorders>
              <w:top w:val="single" w:sz="4" w:space="0" w:color="000000" w:themeColor="text1"/>
              <w:bottom w:val="dotted" w:sz="4" w:space="0" w:color="auto"/>
            </w:tcBorders>
            <w:vAlign w:val="center"/>
          </w:tcPr>
          <w:p w14:paraId="40A3AC6A" w14:textId="0E5DF0D2" w:rsidR="00A31350" w:rsidRPr="00BC6FBB" w:rsidRDefault="00A31350"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Domy jednorodzinne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621A3D71" w14:textId="3FB9128D"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tcBorders>
            <w:vAlign w:val="bottom"/>
          </w:tcPr>
          <w:p w14:paraId="23B3F736" w14:textId="37DF8F0B"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168 891</w:t>
            </w:r>
          </w:p>
        </w:tc>
        <w:tc>
          <w:tcPr>
            <w:tcW w:w="1174" w:type="dxa"/>
            <w:tcBorders>
              <w:top w:val="single" w:sz="4" w:space="0" w:color="000000" w:themeColor="text1"/>
            </w:tcBorders>
            <w:vAlign w:val="bottom"/>
          </w:tcPr>
          <w:p w14:paraId="4A1FA051" w14:textId="103A5898"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16,6</w:t>
            </w:r>
          </w:p>
        </w:tc>
      </w:tr>
      <w:tr w:rsidR="00A31350" w:rsidRPr="000D59EA" w14:paraId="16B156A7" w14:textId="77777777" w:rsidTr="00BC6FBB">
        <w:tc>
          <w:tcPr>
            <w:tcW w:w="2344" w:type="dxa"/>
            <w:vMerge/>
            <w:tcBorders>
              <w:top w:val="dotted" w:sz="4" w:space="0" w:color="auto"/>
              <w:bottom w:val="dotted" w:sz="4" w:space="0" w:color="auto"/>
            </w:tcBorders>
            <w:vAlign w:val="center"/>
          </w:tcPr>
          <w:p w14:paraId="16C15374"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11AB410A" w14:textId="17098D9B"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left w:val="single" w:sz="4" w:space="0" w:color="000000" w:themeColor="text1"/>
            </w:tcBorders>
            <w:vAlign w:val="bottom"/>
          </w:tcPr>
          <w:p w14:paraId="71EAE370" w14:textId="3F677661"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110 010</w:t>
            </w:r>
          </w:p>
        </w:tc>
        <w:tc>
          <w:tcPr>
            <w:tcW w:w="1174" w:type="dxa"/>
            <w:vAlign w:val="bottom"/>
          </w:tcPr>
          <w:p w14:paraId="5B24327A" w14:textId="33C5AA26"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12,7</w:t>
            </w:r>
          </w:p>
        </w:tc>
      </w:tr>
      <w:tr w:rsidR="00A31350" w:rsidRPr="000D59EA" w14:paraId="583829DD" w14:textId="77777777" w:rsidTr="00BC6FBB">
        <w:tc>
          <w:tcPr>
            <w:tcW w:w="2344" w:type="dxa"/>
            <w:vMerge/>
            <w:tcBorders>
              <w:top w:val="dotted" w:sz="4" w:space="0" w:color="auto"/>
              <w:bottom w:val="dotted" w:sz="4" w:space="0" w:color="auto"/>
            </w:tcBorders>
            <w:vAlign w:val="center"/>
          </w:tcPr>
          <w:p w14:paraId="2C560076"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7A5C86C1" w14:textId="21F36AB9"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vAlign w:val="bottom"/>
          </w:tcPr>
          <w:p w14:paraId="4AAA9CCA" w14:textId="491A0574"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276 542</w:t>
            </w:r>
          </w:p>
        </w:tc>
        <w:tc>
          <w:tcPr>
            <w:tcW w:w="1174" w:type="dxa"/>
            <w:vAlign w:val="bottom"/>
          </w:tcPr>
          <w:p w14:paraId="0E4DC2D5" w14:textId="194D263E"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14,7</w:t>
            </w:r>
          </w:p>
        </w:tc>
      </w:tr>
      <w:tr w:rsidR="00A31350" w:rsidRPr="000D59EA" w14:paraId="6E131F83" w14:textId="77777777" w:rsidTr="00BC6FBB">
        <w:tc>
          <w:tcPr>
            <w:tcW w:w="2344" w:type="dxa"/>
            <w:vMerge/>
            <w:tcBorders>
              <w:top w:val="dotted" w:sz="4" w:space="0" w:color="auto"/>
              <w:bottom w:val="dotted" w:sz="4" w:space="0" w:color="auto"/>
            </w:tcBorders>
            <w:vAlign w:val="center"/>
          </w:tcPr>
          <w:p w14:paraId="7DAADDDF"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1F0EA502" w14:textId="6C1EE2AB"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vAlign w:val="bottom"/>
          </w:tcPr>
          <w:p w14:paraId="0FDCEDE9" w14:textId="70552CC2"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190 968</w:t>
            </w:r>
          </w:p>
        </w:tc>
        <w:tc>
          <w:tcPr>
            <w:tcW w:w="1174" w:type="dxa"/>
            <w:vAlign w:val="bottom"/>
          </w:tcPr>
          <w:p w14:paraId="299FAF41" w14:textId="61E6331A"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16,1</w:t>
            </w:r>
          </w:p>
        </w:tc>
      </w:tr>
      <w:tr w:rsidR="00A31350" w:rsidRPr="000D59EA" w14:paraId="4B1693D1" w14:textId="77777777" w:rsidTr="00BC6FBB">
        <w:tc>
          <w:tcPr>
            <w:tcW w:w="2344" w:type="dxa"/>
            <w:vMerge/>
            <w:tcBorders>
              <w:top w:val="dotted" w:sz="4" w:space="0" w:color="auto"/>
              <w:bottom w:val="dotted" w:sz="4" w:space="0" w:color="auto"/>
            </w:tcBorders>
            <w:vAlign w:val="center"/>
          </w:tcPr>
          <w:p w14:paraId="6EACC8B1"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759C21EA" w14:textId="7E352AEF"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tcBorders>
            <w:vAlign w:val="bottom"/>
          </w:tcPr>
          <w:p w14:paraId="01CDF257" w14:textId="3948B7F5"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55 275</w:t>
            </w:r>
          </w:p>
        </w:tc>
        <w:tc>
          <w:tcPr>
            <w:tcW w:w="1174" w:type="dxa"/>
            <w:vAlign w:val="bottom"/>
          </w:tcPr>
          <w:p w14:paraId="54D6AF79" w14:textId="4DCC0F15"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9,1</w:t>
            </w:r>
          </w:p>
        </w:tc>
      </w:tr>
      <w:tr w:rsidR="00A31350" w:rsidRPr="000D59EA" w14:paraId="3269C0E1" w14:textId="77777777" w:rsidTr="00BC6FBB">
        <w:tc>
          <w:tcPr>
            <w:tcW w:w="2344" w:type="dxa"/>
            <w:vMerge/>
            <w:tcBorders>
              <w:top w:val="dotted" w:sz="4" w:space="0" w:color="auto"/>
              <w:bottom w:val="single" w:sz="4" w:space="0" w:color="000000"/>
            </w:tcBorders>
            <w:vAlign w:val="center"/>
          </w:tcPr>
          <w:p w14:paraId="3C31A81F"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580B7604" w14:textId="689B44C5" w:rsidR="00A31350" w:rsidRDefault="00A31350"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left w:val="single" w:sz="4" w:space="0" w:color="000000" w:themeColor="text1"/>
              <w:bottom w:val="single" w:sz="4" w:space="0" w:color="000000" w:themeColor="text1"/>
            </w:tcBorders>
            <w:vAlign w:val="bottom"/>
          </w:tcPr>
          <w:p w14:paraId="4ABB5F9A" w14:textId="432B2299"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17 951</w:t>
            </w:r>
          </w:p>
        </w:tc>
        <w:tc>
          <w:tcPr>
            <w:tcW w:w="1174" w:type="dxa"/>
            <w:tcBorders>
              <w:bottom w:val="single" w:sz="4" w:space="0" w:color="000000" w:themeColor="text1"/>
            </w:tcBorders>
            <w:vAlign w:val="bottom"/>
          </w:tcPr>
          <w:p w14:paraId="114F8338" w14:textId="3FE1D6EF"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4,4</w:t>
            </w:r>
          </w:p>
        </w:tc>
      </w:tr>
      <w:tr w:rsidR="00A31350" w14:paraId="729601DE" w14:textId="77777777" w:rsidTr="00BC6FBB">
        <w:tc>
          <w:tcPr>
            <w:tcW w:w="2344" w:type="dxa"/>
            <w:vMerge w:val="restart"/>
            <w:tcBorders>
              <w:top w:val="single" w:sz="4" w:space="0" w:color="000000" w:themeColor="text1"/>
              <w:bottom w:val="dotted" w:sz="4" w:space="0" w:color="auto"/>
            </w:tcBorders>
            <w:vAlign w:val="center"/>
          </w:tcPr>
          <w:p w14:paraId="1E1940CC" w14:textId="509BE8DC" w:rsidR="00A31350" w:rsidRPr="00BC6FBB" w:rsidRDefault="00A31350"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 xml:space="preserve">Domy </w:t>
            </w:r>
            <w:r>
              <w:rPr>
                <w:rFonts w:cs="Arial"/>
                <w:sz w:val="20"/>
                <w:szCs w:val="20"/>
                <w:lang w:val="pl-PL"/>
              </w:rPr>
              <w:t>wielorodzinne</w:t>
            </w:r>
            <w:r w:rsidRPr="00D000C6">
              <w:rPr>
                <w:rFonts w:cs="Arial"/>
                <w:sz w:val="20"/>
                <w:szCs w:val="20"/>
                <w:lang w:val="pl-PL"/>
              </w:rPr>
              <w:t xml:space="preserv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49D78968" w14:textId="7015F352"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bottom w:val="dotted" w:sz="4" w:space="0" w:color="auto"/>
            </w:tcBorders>
            <w:vAlign w:val="bottom"/>
          </w:tcPr>
          <w:p w14:paraId="6CBF3691" w14:textId="3129B003"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137 296</w:t>
            </w:r>
          </w:p>
        </w:tc>
        <w:tc>
          <w:tcPr>
            <w:tcW w:w="1174" w:type="dxa"/>
            <w:tcBorders>
              <w:top w:val="single" w:sz="4" w:space="0" w:color="000000" w:themeColor="text1"/>
              <w:bottom w:val="dotted" w:sz="4" w:space="0" w:color="auto"/>
            </w:tcBorders>
            <w:vAlign w:val="bottom"/>
          </w:tcPr>
          <w:p w14:paraId="7E9D4611" w14:textId="18B34B3D"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9,9</w:t>
            </w:r>
          </w:p>
        </w:tc>
      </w:tr>
      <w:tr w:rsidR="00A31350" w14:paraId="2527B0EA" w14:textId="77777777" w:rsidTr="00BC6FBB">
        <w:tc>
          <w:tcPr>
            <w:tcW w:w="2344" w:type="dxa"/>
            <w:vMerge/>
            <w:tcBorders>
              <w:top w:val="dotted" w:sz="4" w:space="0" w:color="auto"/>
              <w:bottom w:val="dotted" w:sz="4" w:space="0" w:color="auto"/>
            </w:tcBorders>
            <w:vAlign w:val="center"/>
          </w:tcPr>
          <w:p w14:paraId="7FD2A00D"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4E52FD0C" w14:textId="326EA4FA"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top w:val="dotted" w:sz="4" w:space="0" w:color="auto"/>
              <w:left w:val="single" w:sz="4" w:space="0" w:color="000000" w:themeColor="text1"/>
            </w:tcBorders>
            <w:vAlign w:val="bottom"/>
          </w:tcPr>
          <w:p w14:paraId="60C2859B" w14:textId="22B76079"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50 924</w:t>
            </w:r>
          </w:p>
        </w:tc>
        <w:tc>
          <w:tcPr>
            <w:tcW w:w="1174" w:type="dxa"/>
            <w:tcBorders>
              <w:top w:val="dotted" w:sz="4" w:space="0" w:color="auto"/>
            </w:tcBorders>
            <w:vAlign w:val="bottom"/>
          </w:tcPr>
          <w:p w14:paraId="218C79C1" w14:textId="3FE73158"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6,6</w:t>
            </w:r>
          </w:p>
        </w:tc>
      </w:tr>
      <w:tr w:rsidR="00A31350" w14:paraId="7F069D52" w14:textId="77777777" w:rsidTr="00BC6FBB">
        <w:tc>
          <w:tcPr>
            <w:tcW w:w="2344" w:type="dxa"/>
            <w:vMerge/>
            <w:tcBorders>
              <w:top w:val="dotted" w:sz="4" w:space="0" w:color="auto"/>
              <w:bottom w:val="dotted" w:sz="4" w:space="0" w:color="auto"/>
            </w:tcBorders>
            <w:vAlign w:val="center"/>
          </w:tcPr>
          <w:p w14:paraId="7EBAC5A3"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5E3D0D1A" w14:textId="15577A91"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vAlign w:val="bottom"/>
          </w:tcPr>
          <w:p w14:paraId="672C8745" w14:textId="5468D7F3"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156 704</w:t>
            </w:r>
          </w:p>
        </w:tc>
        <w:tc>
          <w:tcPr>
            <w:tcW w:w="1174" w:type="dxa"/>
            <w:vAlign w:val="bottom"/>
          </w:tcPr>
          <w:p w14:paraId="324E4054" w14:textId="3A7322D7"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5,5</w:t>
            </w:r>
          </w:p>
        </w:tc>
      </w:tr>
      <w:tr w:rsidR="00A31350" w14:paraId="03796AC3" w14:textId="77777777" w:rsidTr="00BC6FBB">
        <w:tc>
          <w:tcPr>
            <w:tcW w:w="2344" w:type="dxa"/>
            <w:vMerge/>
            <w:tcBorders>
              <w:top w:val="dotted" w:sz="4" w:space="0" w:color="auto"/>
              <w:bottom w:val="dotted" w:sz="4" w:space="0" w:color="auto"/>
            </w:tcBorders>
            <w:vAlign w:val="center"/>
          </w:tcPr>
          <w:p w14:paraId="3BCE4594"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73502318" w14:textId="6E929662"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vAlign w:val="bottom"/>
          </w:tcPr>
          <w:p w14:paraId="645F31DF" w14:textId="336CCCD4"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89 318</w:t>
            </w:r>
          </w:p>
        </w:tc>
        <w:tc>
          <w:tcPr>
            <w:tcW w:w="1174" w:type="dxa"/>
            <w:vAlign w:val="bottom"/>
          </w:tcPr>
          <w:p w14:paraId="3309366B" w14:textId="6B3A4FBE"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6,0</w:t>
            </w:r>
          </w:p>
        </w:tc>
      </w:tr>
      <w:tr w:rsidR="00A31350" w14:paraId="240731E9" w14:textId="77777777" w:rsidTr="00BC6FBB">
        <w:tc>
          <w:tcPr>
            <w:tcW w:w="2344" w:type="dxa"/>
            <w:vMerge/>
            <w:tcBorders>
              <w:top w:val="dotted" w:sz="4" w:space="0" w:color="auto"/>
              <w:bottom w:val="dotted" w:sz="4" w:space="0" w:color="auto"/>
            </w:tcBorders>
            <w:vAlign w:val="center"/>
          </w:tcPr>
          <w:p w14:paraId="64015DAE"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2373C7CF" w14:textId="00A310B3"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bottom w:val="dotted" w:sz="4" w:space="0" w:color="auto"/>
            </w:tcBorders>
            <w:vAlign w:val="bottom"/>
          </w:tcPr>
          <w:p w14:paraId="2BC523BF" w14:textId="52616CF0"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18 299</w:t>
            </w:r>
          </w:p>
        </w:tc>
        <w:tc>
          <w:tcPr>
            <w:tcW w:w="1174" w:type="dxa"/>
            <w:tcBorders>
              <w:bottom w:val="dotted" w:sz="4" w:space="0" w:color="auto"/>
            </w:tcBorders>
            <w:vAlign w:val="bottom"/>
          </w:tcPr>
          <w:p w14:paraId="44F91E2B" w14:textId="4C9C9CD2"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4,5</w:t>
            </w:r>
          </w:p>
        </w:tc>
      </w:tr>
      <w:tr w:rsidR="00A31350" w14:paraId="46F0F8AF" w14:textId="77777777" w:rsidTr="00BC6FBB">
        <w:tc>
          <w:tcPr>
            <w:tcW w:w="2344" w:type="dxa"/>
            <w:vMerge/>
            <w:tcBorders>
              <w:top w:val="dotted" w:sz="4" w:space="0" w:color="auto"/>
              <w:bottom w:val="single" w:sz="4" w:space="0" w:color="000000"/>
            </w:tcBorders>
            <w:vAlign w:val="center"/>
          </w:tcPr>
          <w:p w14:paraId="43128CC3"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39AEFBDE" w14:textId="268E2330" w:rsidR="00A31350" w:rsidRDefault="00A31350"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top w:val="dotted" w:sz="4" w:space="0" w:color="auto"/>
              <w:left w:val="single" w:sz="4" w:space="0" w:color="000000" w:themeColor="text1"/>
              <w:bottom w:val="single" w:sz="4" w:space="0" w:color="000000" w:themeColor="text1"/>
            </w:tcBorders>
            <w:vAlign w:val="bottom"/>
          </w:tcPr>
          <w:p w14:paraId="09014420" w14:textId="5C0608D4"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6 160</w:t>
            </w:r>
          </w:p>
        </w:tc>
        <w:tc>
          <w:tcPr>
            <w:tcW w:w="1174" w:type="dxa"/>
            <w:tcBorders>
              <w:top w:val="dotted" w:sz="4" w:space="0" w:color="auto"/>
              <w:bottom w:val="single" w:sz="4" w:space="0" w:color="000000" w:themeColor="text1"/>
            </w:tcBorders>
            <w:vAlign w:val="bottom"/>
          </w:tcPr>
          <w:p w14:paraId="109F3640" w14:textId="39012395"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1,4</w:t>
            </w:r>
          </w:p>
        </w:tc>
      </w:tr>
      <w:tr w:rsidR="00A31350" w14:paraId="1ACDAC46" w14:textId="77777777" w:rsidTr="00BC6FBB">
        <w:tc>
          <w:tcPr>
            <w:tcW w:w="2344" w:type="dxa"/>
            <w:vMerge w:val="restart"/>
            <w:tcBorders>
              <w:top w:val="single" w:sz="4" w:space="0" w:color="000000" w:themeColor="text1"/>
              <w:bottom w:val="dotted" w:sz="4" w:space="0" w:color="auto"/>
            </w:tcBorders>
            <w:vAlign w:val="center"/>
          </w:tcPr>
          <w:p w14:paraId="25813DB3" w14:textId="2E520777" w:rsidR="00A31350" w:rsidRDefault="00A31350"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Główne źródło utrzymania</w:t>
            </w:r>
          </w:p>
        </w:tc>
        <w:tc>
          <w:tcPr>
            <w:tcW w:w="3883" w:type="dxa"/>
            <w:tcBorders>
              <w:top w:val="single" w:sz="4" w:space="0" w:color="000000" w:themeColor="text1"/>
              <w:bottom w:val="dotted" w:sz="4" w:space="0" w:color="auto"/>
              <w:right w:val="single" w:sz="4" w:space="0" w:color="000000" w:themeColor="text1"/>
            </w:tcBorders>
            <w:vAlign w:val="bottom"/>
          </w:tcPr>
          <w:p w14:paraId="6A28B39F" w14:textId="46F0CF06" w:rsidR="00A31350" w:rsidRPr="00BC6FBB" w:rsidRDefault="00A31350" w:rsidP="000D082D">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robotniczym</w:t>
            </w:r>
          </w:p>
        </w:tc>
        <w:tc>
          <w:tcPr>
            <w:tcW w:w="1398" w:type="dxa"/>
            <w:tcBorders>
              <w:top w:val="single" w:sz="4" w:space="0" w:color="000000" w:themeColor="text1"/>
              <w:left w:val="single" w:sz="4" w:space="0" w:color="000000" w:themeColor="text1"/>
            </w:tcBorders>
            <w:vAlign w:val="center"/>
          </w:tcPr>
          <w:p w14:paraId="367FD26C" w14:textId="6ECA2111"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325 834</w:t>
            </w:r>
          </w:p>
        </w:tc>
        <w:tc>
          <w:tcPr>
            <w:tcW w:w="1174" w:type="dxa"/>
            <w:tcBorders>
              <w:top w:val="single" w:sz="4" w:space="0" w:color="000000" w:themeColor="text1"/>
            </w:tcBorders>
            <w:vAlign w:val="center"/>
          </w:tcPr>
          <w:p w14:paraId="60B85625" w14:textId="3A8C1755"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9,9</w:t>
            </w:r>
          </w:p>
        </w:tc>
      </w:tr>
      <w:tr w:rsidR="00A31350" w14:paraId="64845B6F" w14:textId="77777777" w:rsidTr="00BC6FBB">
        <w:trPr>
          <w:trHeight w:val="297"/>
        </w:trPr>
        <w:tc>
          <w:tcPr>
            <w:tcW w:w="2344" w:type="dxa"/>
            <w:vMerge/>
            <w:tcBorders>
              <w:top w:val="dotted" w:sz="4" w:space="0" w:color="auto"/>
              <w:bottom w:val="dotted" w:sz="4" w:space="0" w:color="auto"/>
            </w:tcBorders>
            <w:vAlign w:val="center"/>
          </w:tcPr>
          <w:p w14:paraId="5F56C34F"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1E8F8B49" w14:textId="65ED9E6F" w:rsidR="00A31350" w:rsidRPr="00BC6FBB" w:rsidRDefault="00A31350" w:rsidP="000D082D">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nierobotniczym</w:t>
            </w:r>
          </w:p>
        </w:tc>
        <w:tc>
          <w:tcPr>
            <w:tcW w:w="1398" w:type="dxa"/>
            <w:tcBorders>
              <w:left w:val="single" w:sz="4" w:space="0" w:color="000000" w:themeColor="text1"/>
            </w:tcBorders>
            <w:vAlign w:val="center"/>
          </w:tcPr>
          <w:p w14:paraId="03DF4458" w14:textId="1E6FF575"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140 143</w:t>
            </w:r>
          </w:p>
        </w:tc>
        <w:tc>
          <w:tcPr>
            <w:tcW w:w="1174" w:type="dxa"/>
            <w:vAlign w:val="center"/>
          </w:tcPr>
          <w:p w14:paraId="274D88C3" w14:textId="4ABFD366"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4,2</w:t>
            </w:r>
          </w:p>
        </w:tc>
      </w:tr>
      <w:tr w:rsidR="00A31350" w14:paraId="57CA541B" w14:textId="77777777" w:rsidTr="00BC6FBB">
        <w:tc>
          <w:tcPr>
            <w:tcW w:w="2344" w:type="dxa"/>
            <w:vMerge/>
            <w:tcBorders>
              <w:top w:val="dotted" w:sz="4" w:space="0" w:color="auto"/>
              <w:bottom w:val="dotted" w:sz="4" w:space="0" w:color="auto"/>
            </w:tcBorders>
            <w:vAlign w:val="center"/>
          </w:tcPr>
          <w:p w14:paraId="44B48CD0"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5D8AD915" w14:textId="31C0795F"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użytkowanie gospodarstwa rolnego</w:t>
            </w:r>
          </w:p>
        </w:tc>
        <w:tc>
          <w:tcPr>
            <w:tcW w:w="1398" w:type="dxa"/>
            <w:tcBorders>
              <w:left w:val="single" w:sz="4" w:space="0" w:color="000000" w:themeColor="text1"/>
            </w:tcBorders>
            <w:vAlign w:val="center"/>
          </w:tcPr>
          <w:p w14:paraId="32B6EC72" w14:textId="79527047"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159 273</w:t>
            </w:r>
          </w:p>
        </w:tc>
        <w:tc>
          <w:tcPr>
            <w:tcW w:w="1174" w:type="dxa"/>
            <w:vAlign w:val="center"/>
          </w:tcPr>
          <w:p w14:paraId="2E99A7E2" w14:textId="5E9A9F11"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30,1</w:t>
            </w:r>
          </w:p>
        </w:tc>
      </w:tr>
      <w:tr w:rsidR="00A31350" w14:paraId="361E8A76" w14:textId="77777777" w:rsidTr="00BC6FBB">
        <w:tc>
          <w:tcPr>
            <w:tcW w:w="2344" w:type="dxa"/>
            <w:vMerge/>
            <w:tcBorders>
              <w:top w:val="dotted" w:sz="4" w:space="0" w:color="auto"/>
              <w:bottom w:val="dotted" w:sz="4" w:space="0" w:color="auto"/>
            </w:tcBorders>
            <w:vAlign w:val="center"/>
          </w:tcPr>
          <w:p w14:paraId="080962D5"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6B2142BE" w14:textId="68D496EF" w:rsidR="00A31350" w:rsidRDefault="00A31350"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praca na własny rachunek</w:t>
            </w:r>
          </w:p>
        </w:tc>
        <w:tc>
          <w:tcPr>
            <w:tcW w:w="1398" w:type="dxa"/>
            <w:tcBorders>
              <w:left w:val="single" w:sz="4" w:space="0" w:color="000000" w:themeColor="text1"/>
            </w:tcBorders>
            <w:vAlign w:val="center"/>
          </w:tcPr>
          <w:p w14:paraId="760A6A28" w14:textId="0BF22D77"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58 030</w:t>
            </w:r>
          </w:p>
        </w:tc>
        <w:tc>
          <w:tcPr>
            <w:tcW w:w="1174" w:type="dxa"/>
            <w:vAlign w:val="center"/>
          </w:tcPr>
          <w:p w14:paraId="0897798B" w14:textId="4C8162DC"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6,3</w:t>
            </w:r>
          </w:p>
        </w:tc>
      </w:tr>
      <w:tr w:rsidR="00A31350" w:rsidRPr="00132F7C" w14:paraId="6D818EAE" w14:textId="77777777" w:rsidTr="00BC6FBB">
        <w:tc>
          <w:tcPr>
            <w:tcW w:w="2344" w:type="dxa"/>
            <w:vMerge/>
            <w:tcBorders>
              <w:top w:val="dotted" w:sz="4" w:space="0" w:color="auto"/>
              <w:bottom w:val="dotted" w:sz="4" w:space="0" w:color="auto"/>
            </w:tcBorders>
            <w:vAlign w:val="center"/>
          </w:tcPr>
          <w:p w14:paraId="4CB296DA" w14:textId="77777777" w:rsidR="00A31350" w:rsidRDefault="00A31350"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7A51F5B2" w14:textId="661B955A" w:rsidR="00A31350" w:rsidRPr="00BC6FBB" w:rsidRDefault="00A31350" w:rsidP="000D082D">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emerytura, renta lub inne niezarobkowe źródło</w:t>
            </w:r>
          </w:p>
        </w:tc>
        <w:tc>
          <w:tcPr>
            <w:tcW w:w="1398" w:type="dxa"/>
            <w:tcBorders>
              <w:left w:val="single" w:sz="4" w:space="0" w:color="000000" w:themeColor="text1"/>
            </w:tcBorders>
            <w:vAlign w:val="center"/>
          </w:tcPr>
          <w:p w14:paraId="354B98F6" w14:textId="0467A94D"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595 057</w:t>
            </w:r>
          </w:p>
        </w:tc>
        <w:tc>
          <w:tcPr>
            <w:tcW w:w="1174" w:type="dxa"/>
            <w:vAlign w:val="center"/>
          </w:tcPr>
          <w:p w14:paraId="3037F367" w14:textId="7F03CFA5" w:rsidR="00A31350" w:rsidRPr="00804BFA" w:rsidRDefault="00A31350" w:rsidP="000D082D">
            <w:pPr>
              <w:autoSpaceDE w:val="0"/>
              <w:autoSpaceDN w:val="0"/>
              <w:adjustRightInd w:val="0"/>
              <w:spacing w:after="0" w:line="276" w:lineRule="auto"/>
              <w:jc w:val="center"/>
              <w:rPr>
                <w:rFonts w:cs="Arial"/>
                <w:sz w:val="20"/>
                <w:szCs w:val="20"/>
                <w:lang w:val="en-GB"/>
              </w:rPr>
            </w:pPr>
            <w:r>
              <w:rPr>
                <w:rFonts w:cs="Arial"/>
                <w:sz w:val="20"/>
                <w:szCs w:val="20"/>
              </w:rPr>
              <w:t>11,4</w:t>
            </w:r>
          </w:p>
        </w:tc>
      </w:tr>
    </w:tbl>
    <w:p w14:paraId="1278DE3C" w14:textId="380F67FB" w:rsidR="000D082D" w:rsidRPr="00A85D84" w:rsidRDefault="00A85D84" w:rsidP="000D082D">
      <w:pPr>
        <w:autoSpaceDE w:val="0"/>
        <w:autoSpaceDN w:val="0"/>
        <w:adjustRightInd w:val="0"/>
        <w:spacing w:after="0" w:line="276" w:lineRule="auto"/>
        <w:rPr>
          <w:rFonts w:cs="Arial"/>
          <w:b/>
          <w:sz w:val="20"/>
          <w:szCs w:val="20"/>
        </w:rPr>
      </w:pPr>
      <w:r w:rsidRPr="00A85D84">
        <w:rPr>
          <w:rFonts w:cs="Arial"/>
          <w:b/>
          <w:sz w:val="20"/>
          <w:szCs w:val="20"/>
        </w:rPr>
        <w:t>Tabela</w:t>
      </w:r>
      <w:r w:rsidR="000D082D" w:rsidRPr="00A85D84">
        <w:rPr>
          <w:rFonts w:cs="Arial"/>
          <w:b/>
          <w:sz w:val="20"/>
          <w:szCs w:val="20"/>
        </w:rPr>
        <w:t xml:space="preserve"> … </w:t>
      </w:r>
      <w:r w:rsidRPr="00A85D84">
        <w:rPr>
          <w:b/>
          <w:sz w:val="20"/>
          <w:szCs w:val="20"/>
        </w:rPr>
        <w:t xml:space="preserve">Wyniki dla subpopulacji wskaźnika 22% </w:t>
      </w:r>
      <w:r w:rsidRPr="00A85D84">
        <w:rPr>
          <w:rFonts w:cs="Arial"/>
          <w:b/>
          <w:sz w:val="20"/>
          <w:szCs w:val="20"/>
        </w:rPr>
        <w:t>udział wymaganych wydatków na energię względem dochodu</w:t>
      </w:r>
    </w:p>
    <w:tbl>
      <w:tblPr>
        <w:tblStyle w:val="Tabela-Siatka"/>
        <w:tblW w:w="0" w:type="auto"/>
        <w:tblBorders>
          <w:insideH w:val="dotted" w:sz="4" w:space="0" w:color="auto"/>
          <w:insideV w:val="dotted" w:sz="4" w:space="0" w:color="auto"/>
        </w:tblBorders>
        <w:tblLook w:val="04A0" w:firstRow="1" w:lastRow="0" w:firstColumn="1" w:lastColumn="0" w:noHBand="0" w:noVBand="1"/>
      </w:tblPr>
      <w:tblGrid>
        <w:gridCol w:w="2344"/>
        <w:gridCol w:w="3883"/>
        <w:gridCol w:w="1398"/>
        <w:gridCol w:w="1174"/>
      </w:tblGrid>
      <w:tr w:rsidR="00D000C6" w14:paraId="293FA129" w14:textId="77777777" w:rsidTr="00D000C6">
        <w:tc>
          <w:tcPr>
            <w:tcW w:w="6227" w:type="dxa"/>
            <w:gridSpan w:val="2"/>
            <w:tcBorders>
              <w:top w:val="single" w:sz="4" w:space="0" w:color="000000" w:themeColor="text1"/>
              <w:bottom w:val="single" w:sz="4" w:space="0" w:color="000000" w:themeColor="text1"/>
              <w:right w:val="single" w:sz="4" w:space="0" w:color="000000" w:themeColor="text1"/>
            </w:tcBorders>
            <w:shd w:val="clear" w:color="auto" w:fill="FFFF00"/>
            <w:vAlign w:val="center"/>
          </w:tcPr>
          <w:p w14:paraId="0B07B337" w14:textId="7145786D" w:rsidR="00D000C6" w:rsidRPr="00A85D84" w:rsidRDefault="00A85D84" w:rsidP="00A85D84">
            <w:pPr>
              <w:autoSpaceDE w:val="0"/>
              <w:autoSpaceDN w:val="0"/>
              <w:adjustRightInd w:val="0"/>
              <w:spacing w:after="0" w:line="276" w:lineRule="auto"/>
              <w:jc w:val="center"/>
              <w:rPr>
                <w:rFonts w:cs="Arial"/>
                <w:b/>
                <w:sz w:val="20"/>
                <w:szCs w:val="20"/>
                <w:lang w:val="pl-PL"/>
              </w:rPr>
            </w:pPr>
            <w:r w:rsidRPr="00A85D84">
              <w:rPr>
                <w:b/>
                <w:sz w:val="20"/>
                <w:szCs w:val="20"/>
                <w:lang w:val="pl-PL"/>
              </w:rPr>
              <w:t xml:space="preserve">22% </w:t>
            </w:r>
            <w:r w:rsidRPr="00A85D84">
              <w:rPr>
                <w:rFonts w:cs="Arial"/>
                <w:b/>
                <w:sz w:val="20"/>
                <w:szCs w:val="20"/>
                <w:lang w:val="pl-PL"/>
              </w:rPr>
              <w:t>udział wymaganych wydatków na energię względem dochodu</w:t>
            </w:r>
          </w:p>
        </w:tc>
        <w:tc>
          <w:tcPr>
            <w:tcW w:w="1398" w:type="dxa"/>
            <w:tcBorders>
              <w:top w:val="single" w:sz="4" w:space="0" w:color="000000" w:themeColor="text1"/>
              <w:left w:val="single" w:sz="4" w:space="0" w:color="000000" w:themeColor="text1"/>
              <w:bottom w:val="single" w:sz="4" w:space="0" w:color="000000" w:themeColor="text1"/>
            </w:tcBorders>
            <w:shd w:val="clear" w:color="auto" w:fill="FFFF00"/>
          </w:tcPr>
          <w:p w14:paraId="4172F77B" w14:textId="1E623953"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Wartość</w:t>
            </w:r>
          </w:p>
        </w:tc>
        <w:tc>
          <w:tcPr>
            <w:tcW w:w="1174" w:type="dxa"/>
            <w:tcBorders>
              <w:top w:val="single" w:sz="4" w:space="0" w:color="000000" w:themeColor="text1"/>
              <w:bottom w:val="single" w:sz="4" w:space="0" w:color="000000" w:themeColor="text1"/>
            </w:tcBorders>
            <w:shd w:val="clear" w:color="auto" w:fill="FFFF00"/>
          </w:tcPr>
          <w:p w14:paraId="728D13DB" w14:textId="194CB4E1"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Udział [%]</w:t>
            </w:r>
          </w:p>
        </w:tc>
      </w:tr>
      <w:tr w:rsidR="00610BF5" w14:paraId="0AA799AB" w14:textId="77777777" w:rsidTr="00D000C6">
        <w:tc>
          <w:tcPr>
            <w:tcW w:w="6227" w:type="dxa"/>
            <w:gridSpan w:val="2"/>
            <w:tcBorders>
              <w:top w:val="single" w:sz="4" w:space="0" w:color="000000" w:themeColor="text1"/>
              <w:bottom w:val="dotted" w:sz="4" w:space="0" w:color="auto"/>
              <w:right w:val="single" w:sz="4" w:space="0" w:color="000000" w:themeColor="text1"/>
            </w:tcBorders>
            <w:vAlign w:val="center"/>
          </w:tcPr>
          <w:p w14:paraId="09166B41" w14:textId="6A9368AB"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Gospodarstwa domowe</w:t>
            </w:r>
          </w:p>
        </w:tc>
        <w:tc>
          <w:tcPr>
            <w:tcW w:w="1398" w:type="dxa"/>
            <w:tcBorders>
              <w:top w:val="single" w:sz="4" w:space="0" w:color="000000" w:themeColor="text1"/>
              <w:left w:val="single" w:sz="4" w:space="0" w:color="000000" w:themeColor="text1"/>
            </w:tcBorders>
          </w:tcPr>
          <w:p w14:paraId="3C1D496C" w14:textId="6F56C2D8" w:rsidR="00610BF5" w:rsidRPr="00A30F4F"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743 564</w:t>
            </w:r>
          </w:p>
        </w:tc>
        <w:tc>
          <w:tcPr>
            <w:tcW w:w="1174" w:type="dxa"/>
            <w:tcBorders>
              <w:top w:val="single" w:sz="4" w:space="0" w:color="000000" w:themeColor="text1"/>
            </w:tcBorders>
          </w:tcPr>
          <w:p w14:paraId="4A967F89" w14:textId="3101A89E" w:rsidR="00610BF5" w:rsidRPr="00A30F4F"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5,6</w:t>
            </w:r>
          </w:p>
        </w:tc>
      </w:tr>
      <w:tr w:rsidR="00610BF5" w14:paraId="017EBCC0" w14:textId="77777777" w:rsidTr="00D000C6">
        <w:tc>
          <w:tcPr>
            <w:tcW w:w="6227" w:type="dxa"/>
            <w:gridSpan w:val="2"/>
            <w:tcBorders>
              <w:top w:val="dotted" w:sz="4" w:space="0" w:color="auto"/>
              <w:bottom w:val="dotted" w:sz="4" w:space="0" w:color="auto"/>
              <w:right w:val="single" w:sz="4" w:space="0" w:color="000000" w:themeColor="text1"/>
            </w:tcBorders>
            <w:vAlign w:val="center"/>
          </w:tcPr>
          <w:p w14:paraId="5ABEE200" w14:textId="4A32CEAF"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jednorodzinne</w:t>
            </w:r>
          </w:p>
        </w:tc>
        <w:tc>
          <w:tcPr>
            <w:tcW w:w="1398" w:type="dxa"/>
            <w:tcBorders>
              <w:left w:val="single" w:sz="4" w:space="0" w:color="000000" w:themeColor="text1"/>
              <w:bottom w:val="dotted" w:sz="4" w:space="0" w:color="auto"/>
            </w:tcBorders>
          </w:tcPr>
          <w:p w14:paraId="67F112A2" w14:textId="1BBDAD97" w:rsidR="00610BF5" w:rsidRPr="00A30F4F"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441 207</w:t>
            </w:r>
          </w:p>
        </w:tc>
        <w:tc>
          <w:tcPr>
            <w:tcW w:w="1174" w:type="dxa"/>
            <w:tcBorders>
              <w:bottom w:val="dotted" w:sz="4" w:space="0" w:color="auto"/>
            </w:tcBorders>
          </w:tcPr>
          <w:p w14:paraId="2664BBA0" w14:textId="6ADA3572" w:rsidR="00610BF5" w:rsidRPr="00A30F4F"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7,4</w:t>
            </w:r>
          </w:p>
        </w:tc>
      </w:tr>
      <w:tr w:rsidR="00610BF5" w14:paraId="3737B3CF" w14:textId="77777777" w:rsidTr="00D000C6">
        <w:tc>
          <w:tcPr>
            <w:tcW w:w="6227" w:type="dxa"/>
            <w:gridSpan w:val="2"/>
            <w:tcBorders>
              <w:top w:val="dotted" w:sz="4" w:space="0" w:color="auto"/>
              <w:bottom w:val="single" w:sz="4" w:space="0" w:color="000000" w:themeColor="text1"/>
              <w:right w:val="single" w:sz="4" w:space="0" w:color="000000" w:themeColor="text1"/>
            </w:tcBorders>
            <w:vAlign w:val="center"/>
          </w:tcPr>
          <w:p w14:paraId="761BBA22" w14:textId="38D2D36F"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wielorodzinne</w:t>
            </w:r>
          </w:p>
        </w:tc>
        <w:tc>
          <w:tcPr>
            <w:tcW w:w="1398" w:type="dxa"/>
            <w:tcBorders>
              <w:top w:val="dotted" w:sz="4" w:space="0" w:color="auto"/>
              <w:left w:val="single" w:sz="4" w:space="0" w:color="000000" w:themeColor="text1"/>
              <w:bottom w:val="single" w:sz="4" w:space="0" w:color="000000" w:themeColor="text1"/>
            </w:tcBorders>
          </w:tcPr>
          <w:p w14:paraId="20C0A6E3" w14:textId="2E80181B" w:rsidR="00610BF5" w:rsidRPr="00A30F4F"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302 357</w:t>
            </w:r>
          </w:p>
        </w:tc>
        <w:tc>
          <w:tcPr>
            <w:tcW w:w="1174" w:type="dxa"/>
            <w:tcBorders>
              <w:top w:val="dotted" w:sz="4" w:space="0" w:color="auto"/>
              <w:bottom w:val="single" w:sz="4" w:space="0" w:color="000000" w:themeColor="text1"/>
            </w:tcBorders>
          </w:tcPr>
          <w:p w14:paraId="19CF0D23" w14:textId="75EC99D6" w:rsidR="00610BF5" w:rsidRPr="00A30F4F"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4,1</w:t>
            </w:r>
          </w:p>
        </w:tc>
      </w:tr>
      <w:tr w:rsidR="00610BF5" w:rsidRPr="000D59EA" w14:paraId="2FDB929D" w14:textId="77777777" w:rsidTr="00BC6FBB">
        <w:tc>
          <w:tcPr>
            <w:tcW w:w="2344" w:type="dxa"/>
            <w:vMerge w:val="restart"/>
            <w:tcBorders>
              <w:top w:val="single" w:sz="4" w:space="0" w:color="000000" w:themeColor="text1"/>
              <w:bottom w:val="dotted" w:sz="4" w:space="0" w:color="auto"/>
            </w:tcBorders>
            <w:vAlign w:val="center"/>
          </w:tcPr>
          <w:p w14:paraId="6EF9D999" w14:textId="62C83794" w:rsidR="00610BF5" w:rsidRPr="00BC6FBB" w:rsidRDefault="00610BF5"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Domy jednorodzinne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021DB4C7" w14:textId="260BCF75"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tcBorders>
            <w:vAlign w:val="bottom"/>
          </w:tcPr>
          <w:p w14:paraId="48ACE2E0" w14:textId="1B2DE4E6"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106 433</w:t>
            </w:r>
          </w:p>
        </w:tc>
        <w:tc>
          <w:tcPr>
            <w:tcW w:w="1174" w:type="dxa"/>
            <w:tcBorders>
              <w:top w:val="single" w:sz="4" w:space="0" w:color="000000" w:themeColor="text1"/>
            </w:tcBorders>
            <w:vAlign w:val="bottom"/>
          </w:tcPr>
          <w:p w14:paraId="2B888824" w14:textId="59CF1649"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10,4</w:t>
            </w:r>
          </w:p>
        </w:tc>
      </w:tr>
      <w:tr w:rsidR="00610BF5" w:rsidRPr="000D59EA" w14:paraId="74C61CDC" w14:textId="77777777" w:rsidTr="00BC6FBB">
        <w:tc>
          <w:tcPr>
            <w:tcW w:w="2344" w:type="dxa"/>
            <w:vMerge/>
            <w:tcBorders>
              <w:top w:val="dotted" w:sz="4" w:space="0" w:color="auto"/>
              <w:bottom w:val="dotted" w:sz="4" w:space="0" w:color="auto"/>
            </w:tcBorders>
            <w:vAlign w:val="center"/>
          </w:tcPr>
          <w:p w14:paraId="15945A18"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77510203" w14:textId="7C332BE4"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left w:val="single" w:sz="4" w:space="0" w:color="000000" w:themeColor="text1"/>
            </w:tcBorders>
            <w:vAlign w:val="bottom"/>
          </w:tcPr>
          <w:p w14:paraId="79C72F3D" w14:textId="5A9EB05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78 781</w:t>
            </w:r>
          </w:p>
        </w:tc>
        <w:tc>
          <w:tcPr>
            <w:tcW w:w="1174" w:type="dxa"/>
            <w:vAlign w:val="bottom"/>
          </w:tcPr>
          <w:p w14:paraId="696C24A1" w14:textId="4B82E3BD"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9,1</w:t>
            </w:r>
          </w:p>
        </w:tc>
      </w:tr>
      <w:tr w:rsidR="00610BF5" w:rsidRPr="000D59EA" w14:paraId="481A0683" w14:textId="77777777" w:rsidTr="00BC6FBB">
        <w:tc>
          <w:tcPr>
            <w:tcW w:w="2344" w:type="dxa"/>
            <w:vMerge/>
            <w:tcBorders>
              <w:top w:val="dotted" w:sz="4" w:space="0" w:color="auto"/>
              <w:bottom w:val="dotted" w:sz="4" w:space="0" w:color="auto"/>
            </w:tcBorders>
            <w:vAlign w:val="center"/>
          </w:tcPr>
          <w:p w14:paraId="6F4E2518"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23F20F9E" w14:textId="5CF6F5C9"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vAlign w:val="bottom"/>
          </w:tcPr>
          <w:p w14:paraId="184DEAA8" w14:textId="1EE00A4D"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140 198</w:t>
            </w:r>
          </w:p>
        </w:tc>
        <w:tc>
          <w:tcPr>
            <w:tcW w:w="1174" w:type="dxa"/>
            <w:vAlign w:val="bottom"/>
          </w:tcPr>
          <w:p w14:paraId="002FE2BC" w14:textId="61005441"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7,5</w:t>
            </w:r>
          </w:p>
        </w:tc>
      </w:tr>
      <w:tr w:rsidR="00610BF5" w:rsidRPr="000D59EA" w14:paraId="488E2E56" w14:textId="77777777" w:rsidTr="00BC6FBB">
        <w:tc>
          <w:tcPr>
            <w:tcW w:w="2344" w:type="dxa"/>
            <w:vMerge/>
            <w:tcBorders>
              <w:top w:val="dotted" w:sz="4" w:space="0" w:color="auto"/>
              <w:bottom w:val="dotted" w:sz="4" w:space="0" w:color="auto"/>
            </w:tcBorders>
            <w:vAlign w:val="center"/>
          </w:tcPr>
          <w:p w14:paraId="29789C9F"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131D3723" w14:textId="77FC4C19"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vAlign w:val="bottom"/>
          </w:tcPr>
          <w:p w14:paraId="62D8F61B" w14:textId="4554258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76 401</w:t>
            </w:r>
          </w:p>
        </w:tc>
        <w:tc>
          <w:tcPr>
            <w:tcW w:w="1174" w:type="dxa"/>
            <w:vAlign w:val="bottom"/>
          </w:tcPr>
          <w:p w14:paraId="38665315" w14:textId="5FEC03D8"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6,5</w:t>
            </w:r>
          </w:p>
        </w:tc>
      </w:tr>
      <w:tr w:rsidR="00610BF5" w:rsidRPr="000D59EA" w14:paraId="3CB72346" w14:textId="77777777" w:rsidTr="00BC6FBB">
        <w:tc>
          <w:tcPr>
            <w:tcW w:w="2344" w:type="dxa"/>
            <w:vMerge/>
            <w:tcBorders>
              <w:top w:val="dotted" w:sz="4" w:space="0" w:color="auto"/>
              <w:bottom w:val="dotted" w:sz="4" w:space="0" w:color="auto"/>
            </w:tcBorders>
            <w:vAlign w:val="center"/>
          </w:tcPr>
          <w:p w14:paraId="11946DB1"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0640C79E" w14:textId="1795C9E5"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tcBorders>
            <w:vAlign w:val="bottom"/>
          </w:tcPr>
          <w:p w14:paraId="7E36A13B" w14:textId="351B9220"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29 669</w:t>
            </w:r>
          </w:p>
        </w:tc>
        <w:tc>
          <w:tcPr>
            <w:tcW w:w="1174" w:type="dxa"/>
            <w:vAlign w:val="bottom"/>
          </w:tcPr>
          <w:p w14:paraId="10D4546A" w14:textId="013AE33F"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4,9</w:t>
            </w:r>
          </w:p>
        </w:tc>
      </w:tr>
      <w:tr w:rsidR="00610BF5" w:rsidRPr="000D59EA" w14:paraId="40C47BB3" w14:textId="77777777" w:rsidTr="00BC6FBB">
        <w:tc>
          <w:tcPr>
            <w:tcW w:w="2344" w:type="dxa"/>
            <w:vMerge/>
            <w:tcBorders>
              <w:top w:val="dotted" w:sz="4" w:space="0" w:color="auto"/>
              <w:bottom w:val="single" w:sz="4" w:space="0" w:color="000000"/>
            </w:tcBorders>
            <w:vAlign w:val="center"/>
          </w:tcPr>
          <w:p w14:paraId="58D11A2E"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68E64A2C" w14:textId="09BB354D" w:rsidR="00610BF5" w:rsidRDefault="00610BF5"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left w:val="single" w:sz="4" w:space="0" w:color="000000" w:themeColor="text1"/>
              <w:bottom w:val="single" w:sz="4" w:space="0" w:color="000000" w:themeColor="text1"/>
            </w:tcBorders>
            <w:vAlign w:val="bottom"/>
          </w:tcPr>
          <w:p w14:paraId="65B876AA" w14:textId="6D99E351"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9 726</w:t>
            </w:r>
          </w:p>
        </w:tc>
        <w:tc>
          <w:tcPr>
            <w:tcW w:w="1174" w:type="dxa"/>
            <w:tcBorders>
              <w:bottom w:val="single" w:sz="4" w:space="0" w:color="000000" w:themeColor="text1"/>
            </w:tcBorders>
            <w:vAlign w:val="bottom"/>
          </w:tcPr>
          <w:p w14:paraId="70AD3B2F" w14:textId="0B6D7826"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2,4</w:t>
            </w:r>
          </w:p>
        </w:tc>
      </w:tr>
      <w:tr w:rsidR="00610BF5" w14:paraId="2D27F2B2" w14:textId="77777777" w:rsidTr="00BC6FBB">
        <w:tc>
          <w:tcPr>
            <w:tcW w:w="2344" w:type="dxa"/>
            <w:vMerge w:val="restart"/>
            <w:tcBorders>
              <w:top w:val="single" w:sz="4" w:space="0" w:color="000000" w:themeColor="text1"/>
              <w:bottom w:val="dotted" w:sz="4" w:space="0" w:color="auto"/>
            </w:tcBorders>
            <w:vAlign w:val="center"/>
          </w:tcPr>
          <w:p w14:paraId="4CCA6528" w14:textId="4B9C93C1" w:rsidR="00610BF5" w:rsidRPr="00BC6FBB" w:rsidRDefault="00610BF5"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 xml:space="preserve">Domy </w:t>
            </w:r>
            <w:r>
              <w:rPr>
                <w:rFonts w:cs="Arial"/>
                <w:sz w:val="20"/>
                <w:szCs w:val="20"/>
                <w:lang w:val="pl-PL"/>
              </w:rPr>
              <w:t>wielorodzinne</w:t>
            </w:r>
            <w:r w:rsidRPr="00D000C6">
              <w:rPr>
                <w:rFonts w:cs="Arial"/>
                <w:sz w:val="20"/>
                <w:szCs w:val="20"/>
                <w:lang w:val="pl-PL"/>
              </w:rPr>
              <w:t xml:space="preserv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0B97954A" w14:textId="49F66A9C"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bottom w:val="dotted" w:sz="4" w:space="0" w:color="auto"/>
            </w:tcBorders>
            <w:vAlign w:val="bottom"/>
          </w:tcPr>
          <w:p w14:paraId="5146DE9F" w14:textId="020F1DA9"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94 010</w:t>
            </w:r>
          </w:p>
        </w:tc>
        <w:tc>
          <w:tcPr>
            <w:tcW w:w="1174" w:type="dxa"/>
            <w:tcBorders>
              <w:top w:val="single" w:sz="4" w:space="0" w:color="000000" w:themeColor="text1"/>
              <w:bottom w:val="dotted" w:sz="4" w:space="0" w:color="auto"/>
            </w:tcBorders>
            <w:vAlign w:val="bottom"/>
          </w:tcPr>
          <w:p w14:paraId="26D75015" w14:textId="4131B23D"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6,8</w:t>
            </w:r>
          </w:p>
        </w:tc>
      </w:tr>
      <w:tr w:rsidR="00610BF5" w14:paraId="674074EA" w14:textId="77777777" w:rsidTr="00BC6FBB">
        <w:tc>
          <w:tcPr>
            <w:tcW w:w="2344" w:type="dxa"/>
            <w:vMerge/>
            <w:tcBorders>
              <w:top w:val="dotted" w:sz="4" w:space="0" w:color="auto"/>
              <w:bottom w:val="dotted" w:sz="4" w:space="0" w:color="auto"/>
            </w:tcBorders>
            <w:vAlign w:val="center"/>
          </w:tcPr>
          <w:p w14:paraId="709671ED"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569D7414" w14:textId="6E138E93"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top w:val="dotted" w:sz="4" w:space="0" w:color="auto"/>
              <w:left w:val="single" w:sz="4" w:space="0" w:color="000000" w:themeColor="text1"/>
            </w:tcBorders>
            <w:vAlign w:val="bottom"/>
          </w:tcPr>
          <w:p w14:paraId="717AFB27" w14:textId="2490C367"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36 331</w:t>
            </w:r>
          </w:p>
        </w:tc>
        <w:tc>
          <w:tcPr>
            <w:tcW w:w="1174" w:type="dxa"/>
            <w:tcBorders>
              <w:top w:val="dotted" w:sz="4" w:space="0" w:color="auto"/>
            </w:tcBorders>
            <w:vAlign w:val="bottom"/>
          </w:tcPr>
          <w:p w14:paraId="160209D9" w14:textId="64B6D376"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4,7</w:t>
            </w:r>
          </w:p>
        </w:tc>
      </w:tr>
      <w:tr w:rsidR="00610BF5" w14:paraId="5E0AB59E" w14:textId="77777777" w:rsidTr="00BC6FBB">
        <w:tc>
          <w:tcPr>
            <w:tcW w:w="2344" w:type="dxa"/>
            <w:vMerge/>
            <w:tcBorders>
              <w:top w:val="dotted" w:sz="4" w:space="0" w:color="auto"/>
              <w:bottom w:val="dotted" w:sz="4" w:space="0" w:color="auto"/>
            </w:tcBorders>
            <w:vAlign w:val="center"/>
          </w:tcPr>
          <w:p w14:paraId="2ED21FDB"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4E1CEF25" w14:textId="79D8AC76"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vAlign w:val="bottom"/>
          </w:tcPr>
          <w:p w14:paraId="470F4F6F" w14:textId="7868C6BF"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102 642</w:t>
            </w:r>
          </w:p>
        </w:tc>
        <w:tc>
          <w:tcPr>
            <w:tcW w:w="1174" w:type="dxa"/>
            <w:vAlign w:val="bottom"/>
          </w:tcPr>
          <w:p w14:paraId="31672BDE" w14:textId="7C8A8D54"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3,6</w:t>
            </w:r>
          </w:p>
        </w:tc>
      </w:tr>
      <w:tr w:rsidR="00610BF5" w14:paraId="2679BC8E" w14:textId="77777777" w:rsidTr="00BC6FBB">
        <w:tc>
          <w:tcPr>
            <w:tcW w:w="2344" w:type="dxa"/>
            <w:vMerge/>
            <w:tcBorders>
              <w:top w:val="dotted" w:sz="4" w:space="0" w:color="auto"/>
              <w:bottom w:val="dotted" w:sz="4" w:space="0" w:color="auto"/>
            </w:tcBorders>
            <w:vAlign w:val="center"/>
          </w:tcPr>
          <w:p w14:paraId="5BE663A9"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308A2E80" w14:textId="7A3018F0"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vAlign w:val="bottom"/>
          </w:tcPr>
          <w:p w14:paraId="4026B1C0" w14:textId="17A99073"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43 692</w:t>
            </w:r>
          </w:p>
        </w:tc>
        <w:tc>
          <w:tcPr>
            <w:tcW w:w="1174" w:type="dxa"/>
            <w:vAlign w:val="bottom"/>
          </w:tcPr>
          <w:p w14:paraId="277DF702" w14:textId="06E70898"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2,9</w:t>
            </w:r>
          </w:p>
        </w:tc>
      </w:tr>
      <w:tr w:rsidR="00610BF5" w14:paraId="6A112875" w14:textId="77777777" w:rsidTr="00BC6FBB">
        <w:tc>
          <w:tcPr>
            <w:tcW w:w="2344" w:type="dxa"/>
            <w:vMerge/>
            <w:tcBorders>
              <w:top w:val="dotted" w:sz="4" w:space="0" w:color="auto"/>
              <w:bottom w:val="dotted" w:sz="4" w:space="0" w:color="auto"/>
            </w:tcBorders>
            <w:vAlign w:val="center"/>
          </w:tcPr>
          <w:p w14:paraId="2743493D"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5B5D5EBC" w14:textId="179A9D37"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bottom w:val="dotted" w:sz="4" w:space="0" w:color="auto"/>
            </w:tcBorders>
            <w:vAlign w:val="bottom"/>
          </w:tcPr>
          <w:p w14:paraId="28082744" w14:textId="0BAB2043"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14 878</w:t>
            </w:r>
          </w:p>
        </w:tc>
        <w:tc>
          <w:tcPr>
            <w:tcW w:w="1174" w:type="dxa"/>
            <w:tcBorders>
              <w:bottom w:val="dotted" w:sz="4" w:space="0" w:color="auto"/>
            </w:tcBorders>
            <w:vAlign w:val="bottom"/>
          </w:tcPr>
          <w:p w14:paraId="5BD734CB" w14:textId="2DC7CB9B"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3,7</w:t>
            </w:r>
          </w:p>
        </w:tc>
      </w:tr>
      <w:tr w:rsidR="00610BF5" w14:paraId="45BFB146" w14:textId="77777777" w:rsidTr="00BC6FBB">
        <w:tc>
          <w:tcPr>
            <w:tcW w:w="2344" w:type="dxa"/>
            <w:vMerge/>
            <w:tcBorders>
              <w:top w:val="dotted" w:sz="4" w:space="0" w:color="auto"/>
              <w:bottom w:val="single" w:sz="4" w:space="0" w:color="000000"/>
            </w:tcBorders>
            <w:vAlign w:val="center"/>
          </w:tcPr>
          <w:p w14:paraId="2F4A131B"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47CBBD4A" w14:textId="629CA055" w:rsidR="00610BF5" w:rsidRDefault="00610BF5"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top w:val="dotted" w:sz="4" w:space="0" w:color="auto"/>
              <w:left w:val="single" w:sz="4" w:space="0" w:color="000000" w:themeColor="text1"/>
              <w:bottom w:val="single" w:sz="4" w:space="0" w:color="000000" w:themeColor="text1"/>
            </w:tcBorders>
            <w:vAlign w:val="bottom"/>
          </w:tcPr>
          <w:p w14:paraId="6E29887C" w14:textId="4C72B9D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10 806</w:t>
            </w:r>
          </w:p>
        </w:tc>
        <w:tc>
          <w:tcPr>
            <w:tcW w:w="1174" w:type="dxa"/>
            <w:tcBorders>
              <w:top w:val="dotted" w:sz="4" w:space="0" w:color="auto"/>
              <w:bottom w:val="single" w:sz="4" w:space="0" w:color="000000" w:themeColor="text1"/>
            </w:tcBorders>
            <w:vAlign w:val="bottom"/>
          </w:tcPr>
          <w:p w14:paraId="4A65FDA0" w14:textId="39DA8ADD"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2,4</w:t>
            </w:r>
          </w:p>
        </w:tc>
      </w:tr>
      <w:tr w:rsidR="00610BF5" w14:paraId="47348445" w14:textId="77777777" w:rsidTr="00BC6FBB">
        <w:tc>
          <w:tcPr>
            <w:tcW w:w="2344" w:type="dxa"/>
            <w:vMerge w:val="restart"/>
            <w:tcBorders>
              <w:top w:val="single" w:sz="4" w:space="0" w:color="000000" w:themeColor="text1"/>
              <w:bottom w:val="dotted" w:sz="4" w:space="0" w:color="auto"/>
            </w:tcBorders>
            <w:vAlign w:val="center"/>
          </w:tcPr>
          <w:p w14:paraId="6600B593" w14:textId="70265E87"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Główne źródło utrzymania</w:t>
            </w:r>
          </w:p>
        </w:tc>
        <w:tc>
          <w:tcPr>
            <w:tcW w:w="3883" w:type="dxa"/>
            <w:tcBorders>
              <w:top w:val="single" w:sz="4" w:space="0" w:color="000000" w:themeColor="text1"/>
              <w:bottom w:val="dotted" w:sz="4" w:space="0" w:color="auto"/>
              <w:right w:val="single" w:sz="4" w:space="0" w:color="000000" w:themeColor="text1"/>
            </w:tcBorders>
            <w:vAlign w:val="bottom"/>
          </w:tcPr>
          <w:p w14:paraId="4442BEDD" w14:textId="786C62E6" w:rsidR="00610BF5" w:rsidRPr="00BC6FBB" w:rsidRDefault="00610BF5" w:rsidP="000D082D">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robotniczym</w:t>
            </w:r>
          </w:p>
        </w:tc>
        <w:tc>
          <w:tcPr>
            <w:tcW w:w="1398" w:type="dxa"/>
            <w:tcBorders>
              <w:top w:val="single" w:sz="4" w:space="0" w:color="000000" w:themeColor="text1"/>
              <w:left w:val="single" w:sz="4" w:space="0" w:color="000000" w:themeColor="text1"/>
            </w:tcBorders>
            <w:vAlign w:val="center"/>
          </w:tcPr>
          <w:p w14:paraId="4FA104CB" w14:textId="7043AF97"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110 638</w:t>
            </w:r>
          </w:p>
        </w:tc>
        <w:tc>
          <w:tcPr>
            <w:tcW w:w="1174" w:type="dxa"/>
            <w:tcBorders>
              <w:top w:val="single" w:sz="4" w:space="0" w:color="000000" w:themeColor="text1"/>
            </w:tcBorders>
            <w:vAlign w:val="bottom"/>
          </w:tcPr>
          <w:p w14:paraId="6F41B7C9" w14:textId="7AC34099"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3,4</w:t>
            </w:r>
          </w:p>
        </w:tc>
      </w:tr>
      <w:tr w:rsidR="00610BF5" w14:paraId="6645B2EC" w14:textId="77777777" w:rsidTr="00BC6FBB">
        <w:tc>
          <w:tcPr>
            <w:tcW w:w="2344" w:type="dxa"/>
            <w:vMerge/>
            <w:tcBorders>
              <w:top w:val="dotted" w:sz="4" w:space="0" w:color="auto"/>
              <w:bottom w:val="dotted" w:sz="4" w:space="0" w:color="auto"/>
            </w:tcBorders>
            <w:vAlign w:val="center"/>
          </w:tcPr>
          <w:p w14:paraId="44C3146C"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0AF34669" w14:textId="37626731" w:rsidR="00610BF5" w:rsidRPr="00BC6FBB" w:rsidRDefault="00610BF5" w:rsidP="005B0797">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nierobotniczym</w:t>
            </w:r>
          </w:p>
        </w:tc>
        <w:tc>
          <w:tcPr>
            <w:tcW w:w="1398" w:type="dxa"/>
            <w:tcBorders>
              <w:left w:val="single" w:sz="4" w:space="0" w:color="000000" w:themeColor="text1"/>
            </w:tcBorders>
            <w:vAlign w:val="center"/>
          </w:tcPr>
          <w:p w14:paraId="31E0CF16" w14:textId="52A7A66B"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60 571</w:t>
            </w:r>
          </w:p>
        </w:tc>
        <w:tc>
          <w:tcPr>
            <w:tcW w:w="1174" w:type="dxa"/>
            <w:vAlign w:val="bottom"/>
          </w:tcPr>
          <w:p w14:paraId="18754787" w14:textId="123B02EB"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1,8</w:t>
            </w:r>
          </w:p>
        </w:tc>
      </w:tr>
      <w:tr w:rsidR="00610BF5" w14:paraId="3A65615E" w14:textId="77777777" w:rsidTr="00BC6FBB">
        <w:tc>
          <w:tcPr>
            <w:tcW w:w="2344" w:type="dxa"/>
            <w:vMerge/>
            <w:tcBorders>
              <w:top w:val="dotted" w:sz="4" w:space="0" w:color="auto"/>
              <w:bottom w:val="dotted" w:sz="4" w:space="0" w:color="auto"/>
            </w:tcBorders>
            <w:vAlign w:val="center"/>
          </w:tcPr>
          <w:p w14:paraId="1AEE005F"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379100EC" w14:textId="6A7123DF"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użytkowanie gospodarstwa rolnego</w:t>
            </w:r>
          </w:p>
        </w:tc>
        <w:tc>
          <w:tcPr>
            <w:tcW w:w="1398" w:type="dxa"/>
            <w:tcBorders>
              <w:left w:val="single" w:sz="4" w:space="0" w:color="000000" w:themeColor="text1"/>
            </w:tcBorders>
            <w:vAlign w:val="center"/>
          </w:tcPr>
          <w:p w14:paraId="50DD315B" w14:textId="4FE27373"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89 198</w:t>
            </w:r>
          </w:p>
        </w:tc>
        <w:tc>
          <w:tcPr>
            <w:tcW w:w="1174" w:type="dxa"/>
            <w:vAlign w:val="bottom"/>
          </w:tcPr>
          <w:p w14:paraId="50BB3ECF" w14:textId="6688B2F4"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16,9</w:t>
            </w:r>
          </w:p>
        </w:tc>
      </w:tr>
      <w:tr w:rsidR="00610BF5" w14:paraId="3EA708D9" w14:textId="77777777" w:rsidTr="00BC6FBB">
        <w:tc>
          <w:tcPr>
            <w:tcW w:w="2344" w:type="dxa"/>
            <w:vMerge/>
            <w:tcBorders>
              <w:top w:val="dotted" w:sz="4" w:space="0" w:color="auto"/>
              <w:bottom w:val="dotted" w:sz="4" w:space="0" w:color="auto"/>
            </w:tcBorders>
            <w:vAlign w:val="center"/>
          </w:tcPr>
          <w:p w14:paraId="5E5528A4"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0404FF16" w14:textId="12604D9C"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praca na własny rachunek</w:t>
            </w:r>
          </w:p>
        </w:tc>
        <w:tc>
          <w:tcPr>
            <w:tcW w:w="1398" w:type="dxa"/>
            <w:tcBorders>
              <w:left w:val="single" w:sz="4" w:space="0" w:color="000000" w:themeColor="text1"/>
            </w:tcBorders>
            <w:vAlign w:val="center"/>
          </w:tcPr>
          <w:p w14:paraId="4EBAAADC" w14:textId="1FBA3F93"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25 637</w:t>
            </w:r>
          </w:p>
        </w:tc>
        <w:tc>
          <w:tcPr>
            <w:tcW w:w="1174" w:type="dxa"/>
            <w:vAlign w:val="bottom"/>
          </w:tcPr>
          <w:p w14:paraId="6A3998C7" w14:textId="5B54B1B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2,8</w:t>
            </w:r>
          </w:p>
        </w:tc>
      </w:tr>
      <w:tr w:rsidR="00610BF5" w:rsidRPr="00132F7C" w14:paraId="323E30A3" w14:textId="77777777" w:rsidTr="00610BF5">
        <w:trPr>
          <w:trHeight w:val="479"/>
        </w:trPr>
        <w:tc>
          <w:tcPr>
            <w:tcW w:w="2344" w:type="dxa"/>
            <w:vMerge/>
            <w:tcBorders>
              <w:top w:val="dotted" w:sz="4" w:space="0" w:color="auto"/>
              <w:bottom w:val="dotted" w:sz="4" w:space="0" w:color="auto"/>
            </w:tcBorders>
            <w:vAlign w:val="center"/>
          </w:tcPr>
          <w:p w14:paraId="290B3EA8"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2F6F73FF" w14:textId="4AC0C64E" w:rsidR="00610BF5" w:rsidRPr="00BC6FBB" w:rsidRDefault="00610BF5" w:rsidP="000D082D">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emerytura, renta lub inne niezarobkowe źródło</w:t>
            </w:r>
          </w:p>
        </w:tc>
        <w:tc>
          <w:tcPr>
            <w:tcW w:w="1398" w:type="dxa"/>
            <w:tcBorders>
              <w:left w:val="single" w:sz="4" w:space="0" w:color="000000" w:themeColor="text1"/>
            </w:tcBorders>
            <w:vAlign w:val="center"/>
          </w:tcPr>
          <w:p w14:paraId="61C1C39E" w14:textId="75D49B7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457 520</w:t>
            </w:r>
          </w:p>
        </w:tc>
        <w:tc>
          <w:tcPr>
            <w:tcW w:w="1174" w:type="dxa"/>
            <w:vAlign w:val="center"/>
          </w:tcPr>
          <w:p w14:paraId="617A7743" w14:textId="5060BB84" w:rsidR="00610BF5" w:rsidRPr="00804BFA" w:rsidRDefault="00610BF5" w:rsidP="00610BF5">
            <w:pPr>
              <w:autoSpaceDE w:val="0"/>
              <w:autoSpaceDN w:val="0"/>
              <w:adjustRightInd w:val="0"/>
              <w:spacing w:after="0" w:line="276" w:lineRule="auto"/>
              <w:jc w:val="center"/>
              <w:rPr>
                <w:rFonts w:cs="Arial"/>
                <w:sz w:val="20"/>
                <w:szCs w:val="20"/>
                <w:lang w:val="en-GB"/>
              </w:rPr>
            </w:pPr>
            <w:r>
              <w:rPr>
                <w:rFonts w:cs="Arial"/>
                <w:sz w:val="20"/>
                <w:szCs w:val="20"/>
              </w:rPr>
              <w:t>8,8</w:t>
            </w:r>
          </w:p>
        </w:tc>
      </w:tr>
    </w:tbl>
    <w:p w14:paraId="6AEF3121" w14:textId="43339DDA" w:rsidR="000D082D" w:rsidRPr="00A85D84" w:rsidRDefault="00A85D84" w:rsidP="000D082D">
      <w:pPr>
        <w:autoSpaceDE w:val="0"/>
        <w:autoSpaceDN w:val="0"/>
        <w:adjustRightInd w:val="0"/>
        <w:spacing w:after="0" w:line="276" w:lineRule="auto"/>
        <w:rPr>
          <w:rFonts w:cs="Arial"/>
          <w:b/>
          <w:sz w:val="20"/>
          <w:szCs w:val="20"/>
        </w:rPr>
      </w:pPr>
      <w:r w:rsidRPr="00A85D84">
        <w:rPr>
          <w:rFonts w:cs="Arial"/>
          <w:b/>
          <w:sz w:val="20"/>
          <w:szCs w:val="20"/>
        </w:rPr>
        <w:t xml:space="preserve">Tabela … </w:t>
      </w:r>
      <w:r w:rsidRPr="00A85D84">
        <w:rPr>
          <w:b/>
          <w:sz w:val="20"/>
          <w:szCs w:val="20"/>
        </w:rPr>
        <w:t xml:space="preserve">Wyniki dla subpopulacji wskaźnika </w:t>
      </w:r>
      <w:r w:rsidRPr="00A85D84">
        <w:rPr>
          <w:rFonts w:cs="Arial"/>
          <w:b/>
          <w:sz w:val="20"/>
          <w:szCs w:val="20"/>
        </w:rPr>
        <w:t>Podwójna mediana wydatków na energię</w:t>
      </w:r>
    </w:p>
    <w:tbl>
      <w:tblPr>
        <w:tblStyle w:val="Tabela-Siatka"/>
        <w:tblW w:w="0" w:type="auto"/>
        <w:tblBorders>
          <w:insideH w:val="dotted" w:sz="4" w:space="0" w:color="auto"/>
          <w:insideV w:val="dotted" w:sz="4" w:space="0" w:color="auto"/>
        </w:tblBorders>
        <w:tblLook w:val="04A0" w:firstRow="1" w:lastRow="0" w:firstColumn="1" w:lastColumn="0" w:noHBand="0" w:noVBand="1"/>
      </w:tblPr>
      <w:tblGrid>
        <w:gridCol w:w="2344"/>
        <w:gridCol w:w="3883"/>
        <w:gridCol w:w="1398"/>
        <w:gridCol w:w="1174"/>
      </w:tblGrid>
      <w:tr w:rsidR="00D000C6" w14:paraId="09A36521" w14:textId="77777777" w:rsidTr="00D000C6">
        <w:tc>
          <w:tcPr>
            <w:tcW w:w="6227" w:type="dxa"/>
            <w:gridSpan w:val="2"/>
            <w:tcBorders>
              <w:top w:val="single" w:sz="4" w:space="0" w:color="000000" w:themeColor="text1"/>
              <w:bottom w:val="single" w:sz="4" w:space="0" w:color="000000" w:themeColor="text1"/>
              <w:right w:val="single" w:sz="4" w:space="0" w:color="000000" w:themeColor="text1"/>
            </w:tcBorders>
            <w:shd w:val="clear" w:color="auto" w:fill="FFFF00"/>
            <w:vAlign w:val="center"/>
          </w:tcPr>
          <w:p w14:paraId="36D008ED" w14:textId="5E276BC9" w:rsidR="00D000C6" w:rsidRPr="00BC6FBB" w:rsidRDefault="00A85D84" w:rsidP="000D082D">
            <w:pPr>
              <w:autoSpaceDE w:val="0"/>
              <w:autoSpaceDN w:val="0"/>
              <w:adjustRightInd w:val="0"/>
              <w:spacing w:after="0" w:line="276" w:lineRule="auto"/>
              <w:jc w:val="center"/>
              <w:rPr>
                <w:rFonts w:cs="Arial"/>
                <w:b/>
                <w:sz w:val="20"/>
                <w:szCs w:val="20"/>
                <w:lang w:val="pl-PL"/>
              </w:rPr>
            </w:pPr>
            <w:r w:rsidRPr="00A85D84">
              <w:rPr>
                <w:rFonts w:cs="Arial"/>
                <w:b/>
                <w:sz w:val="20"/>
                <w:szCs w:val="20"/>
                <w:lang w:val="pl-PL"/>
              </w:rPr>
              <w:t>Podwójna mediana wydatków na energię</w:t>
            </w:r>
          </w:p>
        </w:tc>
        <w:tc>
          <w:tcPr>
            <w:tcW w:w="1398" w:type="dxa"/>
            <w:tcBorders>
              <w:top w:val="single" w:sz="4" w:space="0" w:color="000000" w:themeColor="text1"/>
              <w:left w:val="single" w:sz="4" w:space="0" w:color="000000" w:themeColor="text1"/>
              <w:bottom w:val="single" w:sz="4" w:space="0" w:color="000000" w:themeColor="text1"/>
            </w:tcBorders>
            <w:shd w:val="clear" w:color="auto" w:fill="FFFF00"/>
          </w:tcPr>
          <w:p w14:paraId="65F34C3B" w14:textId="0896EDEF"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Wartość</w:t>
            </w:r>
          </w:p>
        </w:tc>
        <w:tc>
          <w:tcPr>
            <w:tcW w:w="1174" w:type="dxa"/>
            <w:tcBorders>
              <w:top w:val="single" w:sz="4" w:space="0" w:color="000000" w:themeColor="text1"/>
              <w:bottom w:val="single" w:sz="4" w:space="0" w:color="000000" w:themeColor="text1"/>
            </w:tcBorders>
            <w:shd w:val="clear" w:color="auto" w:fill="FFFF00"/>
          </w:tcPr>
          <w:p w14:paraId="41C04EFF" w14:textId="3058C729"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Udział [%]</w:t>
            </w:r>
          </w:p>
        </w:tc>
      </w:tr>
      <w:tr w:rsidR="00610BF5" w14:paraId="41E6E9A8" w14:textId="77777777" w:rsidTr="00D000C6">
        <w:tc>
          <w:tcPr>
            <w:tcW w:w="6227" w:type="dxa"/>
            <w:gridSpan w:val="2"/>
            <w:tcBorders>
              <w:top w:val="single" w:sz="4" w:space="0" w:color="000000" w:themeColor="text1"/>
              <w:bottom w:val="dotted" w:sz="4" w:space="0" w:color="auto"/>
              <w:right w:val="single" w:sz="4" w:space="0" w:color="000000" w:themeColor="text1"/>
            </w:tcBorders>
            <w:vAlign w:val="center"/>
          </w:tcPr>
          <w:p w14:paraId="5C6B6A52" w14:textId="7277E9DC"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Gospodarstwa domowe</w:t>
            </w:r>
          </w:p>
        </w:tc>
        <w:tc>
          <w:tcPr>
            <w:tcW w:w="1398" w:type="dxa"/>
            <w:tcBorders>
              <w:top w:val="single" w:sz="4" w:space="0" w:color="000000" w:themeColor="text1"/>
              <w:left w:val="single" w:sz="4" w:space="0" w:color="000000" w:themeColor="text1"/>
            </w:tcBorders>
          </w:tcPr>
          <w:p w14:paraId="1FDAA2A2" w14:textId="61210390"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2 356 700</w:t>
            </w:r>
          </w:p>
        </w:tc>
        <w:tc>
          <w:tcPr>
            <w:tcW w:w="1174" w:type="dxa"/>
            <w:tcBorders>
              <w:top w:val="single" w:sz="4" w:space="0" w:color="000000" w:themeColor="text1"/>
            </w:tcBorders>
          </w:tcPr>
          <w:p w14:paraId="219DE856" w14:textId="2C773621"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17,7</w:t>
            </w:r>
          </w:p>
        </w:tc>
      </w:tr>
      <w:tr w:rsidR="00610BF5" w14:paraId="0C26FECB" w14:textId="77777777" w:rsidTr="00D000C6">
        <w:tc>
          <w:tcPr>
            <w:tcW w:w="6227" w:type="dxa"/>
            <w:gridSpan w:val="2"/>
            <w:tcBorders>
              <w:top w:val="dotted" w:sz="4" w:space="0" w:color="auto"/>
              <w:bottom w:val="dotted" w:sz="4" w:space="0" w:color="auto"/>
              <w:right w:val="single" w:sz="4" w:space="0" w:color="000000" w:themeColor="text1"/>
            </w:tcBorders>
            <w:vAlign w:val="center"/>
          </w:tcPr>
          <w:p w14:paraId="529EB7A2" w14:textId="0869ECDC"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jednorodzinne</w:t>
            </w:r>
          </w:p>
        </w:tc>
        <w:tc>
          <w:tcPr>
            <w:tcW w:w="1398" w:type="dxa"/>
            <w:tcBorders>
              <w:left w:val="single" w:sz="4" w:space="0" w:color="000000" w:themeColor="text1"/>
              <w:bottom w:val="dotted" w:sz="4" w:space="0" w:color="auto"/>
            </w:tcBorders>
          </w:tcPr>
          <w:p w14:paraId="2DF7A761" w14:textId="444C13DE" w:rsidR="00610BF5" w:rsidRPr="00A30F4F"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1 197 862</w:t>
            </w:r>
          </w:p>
        </w:tc>
        <w:tc>
          <w:tcPr>
            <w:tcW w:w="1174" w:type="dxa"/>
            <w:tcBorders>
              <w:bottom w:val="dotted" w:sz="4" w:space="0" w:color="auto"/>
            </w:tcBorders>
          </w:tcPr>
          <w:p w14:paraId="10DD12CD" w14:textId="48DB571B" w:rsidR="00610BF5" w:rsidRPr="00A30F4F"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20,1</w:t>
            </w:r>
          </w:p>
        </w:tc>
      </w:tr>
      <w:tr w:rsidR="00610BF5" w14:paraId="471B24A0" w14:textId="77777777" w:rsidTr="00D000C6">
        <w:tc>
          <w:tcPr>
            <w:tcW w:w="6227" w:type="dxa"/>
            <w:gridSpan w:val="2"/>
            <w:tcBorders>
              <w:top w:val="dotted" w:sz="4" w:space="0" w:color="auto"/>
              <w:bottom w:val="single" w:sz="4" w:space="0" w:color="000000" w:themeColor="text1"/>
              <w:right w:val="single" w:sz="4" w:space="0" w:color="000000" w:themeColor="text1"/>
            </w:tcBorders>
            <w:vAlign w:val="center"/>
          </w:tcPr>
          <w:p w14:paraId="4F096DB0" w14:textId="25F6F4A8"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wielorodzinne</w:t>
            </w:r>
          </w:p>
        </w:tc>
        <w:tc>
          <w:tcPr>
            <w:tcW w:w="1398" w:type="dxa"/>
            <w:tcBorders>
              <w:top w:val="dotted" w:sz="4" w:space="0" w:color="auto"/>
              <w:left w:val="single" w:sz="4" w:space="0" w:color="000000" w:themeColor="text1"/>
              <w:bottom w:val="single" w:sz="4" w:space="0" w:color="000000" w:themeColor="text1"/>
            </w:tcBorders>
          </w:tcPr>
          <w:p w14:paraId="37C1DEC4" w14:textId="10A46D47" w:rsidR="00610BF5" w:rsidRPr="00A30F4F"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1 158 838</w:t>
            </w:r>
          </w:p>
        </w:tc>
        <w:tc>
          <w:tcPr>
            <w:tcW w:w="1174" w:type="dxa"/>
            <w:tcBorders>
              <w:top w:val="dotted" w:sz="4" w:space="0" w:color="auto"/>
              <w:bottom w:val="single" w:sz="4" w:space="0" w:color="000000" w:themeColor="text1"/>
            </w:tcBorders>
          </w:tcPr>
          <w:p w14:paraId="238BD946" w14:textId="7D60417E" w:rsidR="00610BF5" w:rsidRPr="00A30F4F"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15,8</w:t>
            </w:r>
          </w:p>
        </w:tc>
      </w:tr>
      <w:tr w:rsidR="00610BF5" w:rsidRPr="000D59EA" w14:paraId="57745E51" w14:textId="77777777" w:rsidTr="00BC6FBB">
        <w:tc>
          <w:tcPr>
            <w:tcW w:w="2344" w:type="dxa"/>
            <w:vMerge w:val="restart"/>
            <w:tcBorders>
              <w:top w:val="single" w:sz="4" w:space="0" w:color="000000" w:themeColor="text1"/>
              <w:bottom w:val="dotted" w:sz="4" w:space="0" w:color="auto"/>
            </w:tcBorders>
            <w:vAlign w:val="center"/>
          </w:tcPr>
          <w:p w14:paraId="7758F1ED" w14:textId="1337202A" w:rsidR="00610BF5" w:rsidRPr="00BC6FBB" w:rsidRDefault="00610BF5"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Domy jednorodzinne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2A460F34" w14:textId="4824B0CF"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tcBorders>
          </w:tcPr>
          <w:p w14:paraId="5CC20C57" w14:textId="1980D5C9" w:rsidR="00610BF5" w:rsidRPr="00804BFA" w:rsidRDefault="00610BF5" w:rsidP="000D082D">
            <w:pPr>
              <w:autoSpaceDE w:val="0"/>
              <w:autoSpaceDN w:val="0"/>
              <w:adjustRightInd w:val="0"/>
              <w:spacing w:after="0" w:line="276" w:lineRule="auto"/>
              <w:jc w:val="center"/>
              <w:rPr>
                <w:rFonts w:cs="Arial"/>
                <w:sz w:val="20"/>
                <w:szCs w:val="20"/>
                <w:lang w:val="en-GB"/>
              </w:rPr>
            </w:pPr>
            <w:r w:rsidRPr="003273B6">
              <w:rPr>
                <w:sz w:val="20"/>
                <w:szCs w:val="20"/>
              </w:rPr>
              <w:t>237 476</w:t>
            </w:r>
          </w:p>
        </w:tc>
        <w:tc>
          <w:tcPr>
            <w:tcW w:w="1174" w:type="dxa"/>
            <w:tcBorders>
              <w:top w:val="single" w:sz="4" w:space="0" w:color="000000" w:themeColor="text1"/>
            </w:tcBorders>
            <w:vAlign w:val="bottom"/>
          </w:tcPr>
          <w:p w14:paraId="1B604644" w14:textId="34EF6221"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22,6</w:t>
            </w:r>
          </w:p>
        </w:tc>
      </w:tr>
      <w:tr w:rsidR="00610BF5" w:rsidRPr="000D59EA" w14:paraId="1A602870" w14:textId="77777777" w:rsidTr="00BC6FBB">
        <w:tc>
          <w:tcPr>
            <w:tcW w:w="2344" w:type="dxa"/>
            <w:vMerge/>
            <w:tcBorders>
              <w:top w:val="dotted" w:sz="4" w:space="0" w:color="auto"/>
              <w:bottom w:val="dotted" w:sz="4" w:space="0" w:color="auto"/>
            </w:tcBorders>
            <w:vAlign w:val="center"/>
          </w:tcPr>
          <w:p w14:paraId="26532B6F"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5FB60B47" w14:textId="07BCA579"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left w:val="single" w:sz="4" w:space="0" w:color="000000" w:themeColor="text1"/>
            </w:tcBorders>
          </w:tcPr>
          <w:p w14:paraId="65DB8758" w14:textId="6D1E8A34" w:rsidR="00610BF5" w:rsidRPr="00804BFA" w:rsidRDefault="00610BF5" w:rsidP="000D082D">
            <w:pPr>
              <w:autoSpaceDE w:val="0"/>
              <w:autoSpaceDN w:val="0"/>
              <w:adjustRightInd w:val="0"/>
              <w:spacing w:after="0" w:line="276" w:lineRule="auto"/>
              <w:jc w:val="center"/>
              <w:rPr>
                <w:rFonts w:cs="Arial"/>
                <w:sz w:val="20"/>
                <w:szCs w:val="20"/>
                <w:lang w:val="en-GB"/>
              </w:rPr>
            </w:pPr>
            <w:r w:rsidRPr="003273B6">
              <w:rPr>
                <w:sz w:val="20"/>
                <w:szCs w:val="20"/>
              </w:rPr>
              <w:t>187 132</w:t>
            </w:r>
          </w:p>
        </w:tc>
        <w:tc>
          <w:tcPr>
            <w:tcW w:w="1174" w:type="dxa"/>
            <w:vAlign w:val="bottom"/>
          </w:tcPr>
          <w:p w14:paraId="31E43208" w14:textId="7F079CB1"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22,1</w:t>
            </w:r>
          </w:p>
        </w:tc>
      </w:tr>
      <w:tr w:rsidR="00610BF5" w:rsidRPr="000D59EA" w14:paraId="7DB5D07A" w14:textId="77777777" w:rsidTr="00BC6FBB">
        <w:tc>
          <w:tcPr>
            <w:tcW w:w="2344" w:type="dxa"/>
            <w:vMerge/>
            <w:tcBorders>
              <w:top w:val="dotted" w:sz="4" w:space="0" w:color="auto"/>
              <w:bottom w:val="dotted" w:sz="4" w:space="0" w:color="auto"/>
            </w:tcBorders>
            <w:vAlign w:val="center"/>
          </w:tcPr>
          <w:p w14:paraId="75FC07C2"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60C28AB8" w14:textId="7C9B44F8"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tcPr>
          <w:p w14:paraId="2250AEC1" w14:textId="6CF7FB91" w:rsidR="00610BF5" w:rsidRPr="00804BFA" w:rsidRDefault="00610BF5" w:rsidP="000D082D">
            <w:pPr>
              <w:autoSpaceDE w:val="0"/>
              <w:autoSpaceDN w:val="0"/>
              <w:adjustRightInd w:val="0"/>
              <w:spacing w:after="0" w:line="276" w:lineRule="auto"/>
              <w:jc w:val="center"/>
              <w:rPr>
                <w:rFonts w:cs="Arial"/>
                <w:sz w:val="20"/>
                <w:szCs w:val="20"/>
                <w:lang w:val="en-GB"/>
              </w:rPr>
            </w:pPr>
            <w:r w:rsidRPr="003273B6">
              <w:rPr>
                <w:sz w:val="20"/>
                <w:szCs w:val="20"/>
              </w:rPr>
              <w:t>396 020</w:t>
            </w:r>
          </w:p>
        </w:tc>
        <w:tc>
          <w:tcPr>
            <w:tcW w:w="1174" w:type="dxa"/>
            <w:vAlign w:val="bottom"/>
          </w:tcPr>
          <w:p w14:paraId="0C4CE9E6" w14:textId="14B37A21"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20,5</w:t>
            </w:r>
          </w:p>
        </w:tc>
      </w:tr>
      <w:tr w:rsidR="00610BF5" w:rsidRPr="000D59EA" w14:paraId="6348FDD9" w14:textId="77777777" w:rsidTr="00BC6FBB">
        <w:tc>
          <w:tcPr>
            <w:tcW w:w="2344" w:type="dxa"/>
            <w:vMerge/>
            <w:tcBorders>
              <w:top w:val="dotted" w:sz="4" w:space="0" w:color="auto"/>
              <w:bottom w:val="dotted" w:sz="4" w:space="0" w:color="auto"/>
            </w:tcBorders>
            <w:vAlign w:val="center"/>
          </w:tcPr>
          <w:p w14:paraId="430BD3CD"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37C94680" w14:textId="1E907F0D"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tcPr>
          <w:p w14:paraId="3FA26CF9" w14:textId="6D830093" w:rsidR="00610BF5" w:rsidRPr="00804BFA" w:rsidRDefault="00610BF5" w:rsidP="000D082D">
            <w:pPr>
              <w:autoSpaceDE w:val="0"/>
              <w:autoSpaceDN w:val="0"/>
              <w:adjustRightInd w:val="0"/>
              <w:spacing w:after="0" w:line="276" w:lineRule="auto"/>
              <w:jc w:val="center"/>
              <w:rPr>
                <w:rFonts w:cs="Arial"/>
                <w:sz w:val="20"/>
                <w:szCs w:val="20"/>
                <w:lang w:val="en-GB"/>
              </w:rPr>
            </w:pPr>
            <w:r w:rsidRPr="003273B6">
              <w:rPr>
                <w:sz w:val="20"/>
                <w:szCs w:val="20"/>
              </w:rPr>
              <w:t>249 245</w:t>
            </w:r>
          </w:p>
        </w:tc>
        <w:tc>
          <w:tcPr>
            <w:tcW w:w="1174" w:type="dxa"/>
            <w:vAlign w:val="bottom"/>
          </w:tcPr>
          <w:p w14:paraId="553B6971" w14:textId="581EF519"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20,3</w:t>
            </w:r>
          </w:p>
        </w:tc>
      </w:tr>
      <w:tr w:rsidR="00610BF5" w:rsidRPr="000D59EA" w14:paraId="2C13C474" w14:textId="77777777" w:rsidTr="00BC6FBB">
        <w:tc>
          <w:tcPr>
            <w:tcW w:w="2344" w:type="dxa"/>
            <w:vMerge/>
            <w:tcBorders>
              <w:top w:val="dotted" w:sz="4" w:space="0" w:color="auto"/>
              <w:bottom w:val="dotted" w:sz="4" w:space="0" w:color="auto"/>
            </w:tcBorders>
            <w:vAlign w:val="center"/>
          </w:tcPr>
          <w:p w14:paraId="023F59F5"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536AC39A" w14:textId="0EF8C4E3"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tcBorders>
          </w:tcPr>
          <w:p w14:paraId="41DEBC3F" w14:textId="30973179" w:rsidR="00610BF5" w:rsidRPr="00804BFA" w:rsidRDefault="00610BF5" w:rsidP="000D082D">
            <w:pPr>
              <w:autoSpaceDE w:val="0"/>
              <w:autoSpaceDN w:val="0"/>
              <w:adjustRightInd w:val="0"/>
              <w:spacing w:after="0" w:line="276" w:lineRule="auto"/>
              <w:jc w:val="center"/>
              <w:rPr>
                <w:rFonts w:cs="Arial"/>
                <w:sz w:val="20"/>
                <w:szCs w:val="20"/>
                <w:lang w:val="en-GB"/>
              </w:rPr>
            </w:pPr>
            <w:r w:rsidRPr="003273B6">
              <w:rPr>
                <w:sz w:val="20"/>
                <w:szCs w:val="20"/>
              </w:rPr>
              <w:t>98 025</w:t>
            </w:r>
          </w:p>
        </w:tc>
        <w:tc>
          <w:tcPr>
            <w:tcW w:w="1174" w:type="dxa"/>
            <w:vAlign w:val="bottom"/>
          </w:tcPr>
          <w:p w14:paraId="18E88A71" w14:textId="3EFF0D00"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16,5</w:t>
            </w:r>
          </w:p>
        </w:tc>
      </w:tr>
      <w:tr w:rsidR="00610BF5" w:rsidRPr="000D59EA" w14:paraId="4257C73B" w14:textId="77777777" w:rsidTr="00BC6FBB">
        <w:tc>
          <w:tcPr>
            <w:tcW w:w="2344" w:type="dxa"/>
            <w:vMerge/>
            <w:tcBorders>
              <w:top w:val="dotted" w:sz="4" w:space="0" w:color="auto"/>
              <w:bottom w:val="single" w:sz="4" w:space="0" w:color="000000"/>
            </w:tcBorders>
            <w:vAlign w:val="center"/>
          </w:tcPr>
          <w:p w14:paraId="0D6460D9"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5EE41BFA" w14:textId="0F9B96C3" w:rsidR="00610BF5" w:rsidRDefault="00610BF5"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left w:val="single" w:sz="4" w:space="0" w:color="000000" w:themeColor="text1"/>
              <w:bottom w:val="single" w:sz="4" w:space="0" w:color="000000" w:themeColor="text1"/>
            </w:tcBorders>
          </w:tcPr>
          <w:p w14:paraId="70123A08" w14:textId="1AA745DF" w:rsidR="00610BF5" w:rsidRPr="00804BFA" w:rsidRDefault="00610BF5" w:rsidP="000D082D">
            <w:pPr>
              <w:autoSpaceDE w:val="0"/>
              <w:autoSpaceDN w:val="0"/>
              <w:adjustRightInd w:val="0"/>
              <w:spacing w:after="0" w:line="276" w:lineRule="auto"/>
              <w:jc w:val="center"/>
              <w:rPr>
                <w:rFonts w:cs="Arial"/>
                <w:sz w:val="20"/>
                <w:szCs w:val="20"/>
                <w:lang w:val="en-GB"/>
              </w:rPr>
            </w:pPr>
            <w:r w:rsidRPr="003273B6">
              <w:rPr>
                <w:sz w:val="20"/>
                <w:szCs w:val="20"/>
              </w:rPr>
              <w:t>49 213</w:t>
            </w:r>
          </w:p>
        </w:tc>
        <w:tc>
          <w:tcPr>
            <w:tcW w:w="1174" w:type="dxa"/>
            <w:tcBorders>
              <w:bottom w:val="single" w:sz="4" w:space="0" w:color="000000" w:themeColor="text1"/>
            </w:tcBorders>
            <w:vAlign w:val="bottom"/>
          </w:tcPr>
          <w:p w14:paraId="06493A8C" w14:textId="4A4A51E9"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12,6</w:t>
            </w:r>
          </w:p>
        </w:tc>
      </w:tr>
      <w:tr w:rsidR="00610BF5" w14:paraId="4F0C3817" w14:textId="77777777" w:rsidTr="00BC6FBB">
        <w:tc>
          <w:tcPr>
            <w:tcW w:w="2344" w:type="dxa"/>
            <w:vMerge w:val="restart"/>
            <w:tcBorders>
              <w:top w:val="single" w:sz="4" w:space="0" w:color="000000" w:themeColor="text1"/>
              <w:bottom w:val="dotted" w:sz="4" w:space="0" w:color="auto"/>
            </w:tcBorders>
            <w:vAlign w:val="center"/>
          </w:tcPr>
          <w:p w14:paraId="3C82E904" w14:textId="4E8B6FE6" w:rsidR="00610BF5" w:rsidRPr="00BC6FBB" w:rsidRDefault="00610BF5"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 xml:space="preserve">Domy </w:t>
            </w:r>
            <w:r>
              <w:rPr>
                <w:rFonts w:cs="Arial"/>
                <w:sz w:val="20"/>
                <w:szCs w:val="20"/>
                <w:lang w:val="pl-PL"/>
              </w:rPr>
              <w:t>wielorodzinne</w:t>
            </w:r>
            <w:r w:rsidRPr="00D000C6">
              <w:rPr>
                <w:rFonts w:cs="Arial"/>
                <w:sz w:val="20"/>
                <w:szCs w:val="20"/>
                <w:lang w:val="pl-PL"/>
              </w:rPr>
              <w:t xml:space="preserv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05321C58" w14:textId="2AD15241"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bottom w:val="dotted" w:sz="4" w:space="0" w:color="auto"/>
            </w:tcBorders>
            <w:vAlign w:val="bottom"/>
          </w:tcPr>
          <w:p w14:paraId="6E75FFEF" w14:textId="2E3DFF77"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230 864</w:t>
            </w:r>
          </w:p>
        </w:tc>
        <w:tc>
          <w:tcPr>
            <w:tcW w:w="1174" w:type="dxa"/>
            <w:tcBorders>
              <w:top w:val="single" w:sz="4" w:space="0" w:color="000000" w:themeColor="text1"/>
              <w:bottom w:val="dotted" w:sz="4" w:space="0" w:color="auto"/>
            </w:tcBorders>
            <w:vAlign w:val="bottom"/>
          </w:tcPr>
          <w:p w14:paraId="3FE854DB" w14:textId="1490E33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21,2</w:t>
            </w:r>
          </w:p>
        </w:tc>
      </w:tr>
      <w:tr w:rsidR="00610BF5" w14:paraId="6A1D0F94" w14:textId="77777777" w:rsidTr="00BC6FBB">
        <w:tc>
          <w:tcPr>
            <w:tcW w:w="2344" w:type="dxa"/>
            <w:vMerge/>
            <w:tcBorders>
              <w:top w:val="dotted" w:sz="4" w:space="0" w:color="auto"/>
              <w:bottom w:val="dotted" w:sz="4" w:space="0" w:color="auto"/>
            </w:tcBorders>
            <w:vAlign w:val="center"/>
          </w:tcPr>
          <w:p w14:paraId="22D09EBA"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38660D47" w14:textId="1DA9E9FA"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top w:val="dotted" w:sz="4" w:space="0" w:color="auto"/>
              <w:left w:val="single" w:sz="4" w:space="0" w:color="000000" w:themeColor="text1"/>
            </w:tcBorders>
            <w:vAlign w:val="bottom"/>
          </w:tcPr>
          <w:p w14:paraId="3E18301D" w14:textId="2AE7EFB0"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191 019</w:t>
            </w:r>
          </w:p>
        </w:tc>
        <w:tc>
          <w:tcPr>
            <w:tcW w:w="1174" w:type="dxa"/>
            <w:tcBorders>
              <w:top w:val="dotted" w:sz="4" w:space="0" w:color="auto"/>
            </w:tcBorders>
            <w:vAlign w:val="bottom"/>
          </w:tcPr>
          <w:p w14:paraId="40FAA1C6" w14:textId="6E758A9B"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18,0</w:t>
            </w:r>
          </w:p>
        </w:tc>
      </w:tr>
      <w:tr w:rsidR="00610BF5" w14:paraId="2B74E263" w14:textId="77777777" w:rsidTr="00BC6FBB">
        <w:tc>
          <w:tcPr>
            <w:tcW w:w="2344" w:type="dxa"/>
            <w:vMerge/>
            <w:tcBorders>
              <w:top w:val="dotted" w:sz="4" w:space="0" w:color="auto"/>
              <w:bottom w:val="dotted" w:sz="4" w:space="0" w:color="auto"/>
            </w:tcBorders>
            <w:vAlign w:val="center"/>
          </w:tcPr>
          <w:p w14:paraId="77EB9B1F"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24AAE5DB" w14:textId="03AC493F"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vAlign w:val="bottom"/>
          </w:tcPr>
          <w:p w14:paraId="4B40C41F" w14:textId="1A2C16BD"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385 226</w:t>
            </w:r>
          </w:p>
        </w:tc>
        <w:tc>
          <w:tcPr>
            <w:tcW w:w="1174" w:type="dxa"/>
            <w:vAlign w:val="bottom"/>
          </w:tcPr>
          <w:p w14:paraId="0EB0B0A2" w14:textId="7506B0B3"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15,8</w:t>
            </w:r>
          </w:p>
        </w:tc>
      </w:tr>
      <w:tr w:rsidR="00610BF5" w14:paraId="136EE0B1" w14:textId="77777777" w:rsidTr="00BC6FBB">
        <w:tc>
          <w:tcPr>
            <w:tcW w:w="2344" w:type="dxa"/>
            <w:vMerge/>
            <w:tcBorders>
              <w:top w:val="dotted" w:sz="4" w:space="0" w:color="auto"/>
              <w:bottom w:val="dotted" w:sz="4" w:space="0" w:color="auto"/>
            </w:tcBorders>
            <w:vAlign w:val="center"/>
          </w:tcPr>
          <w:p w14:paraId="3E1DB7E5"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1524B46B" w14:textId="47D8D8C0"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vAlign w:val="bottom"/>
          </w:tcPr>
          <w:p w14:paraId="3C2A39C0" w14:textId="228B4A5A"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239 596</w:t>
            </w:r>
          </w:p>
        </w:tc>
        <w:tc>
          <w:tcPr>
            <w:tcW w:w="1174" w:type="dxa"/>
            <w:vAlign w:val="bottom"/>
          </w:tcPr>
          <w:p w14:paraId="3AF63C2A" w14:textId="043A9E5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13,3</w:t>
            </w:r>
          </w:p>
        </w:tc>
      </w:tr>
      <w:tr w:rsidR="00610BF5" w14:paraId="1CA248A4" w14:textId="77777777" w:rsidTr="00BC6FBB">
        <w:tc>
          <w:tcPr>
            <w:tcW w:w="2344" w:type="dxa"/>
            <w:vMerge/>
            <w:tcBorders>
              <w:top w:val="dotted" w:sz="4" w:space="0" w:color="auto"/>
              <w:bottom w:val="dotted" w:sz="4" w:space="0" w:color="auto"/>
            </w:tcBorders>
            <w:vAlign w:val="center"/>
          </w:tcPr>
          <w:p w14:paraId="1FAE9A14"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0859B874" w14:textId="4D4B67E9"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bottom w:val="dotted" w:sz="4" w:space="0" w:color="auto"/>
            </w:tcBorders>
            <w:vAlign w:val="bottom"/>
          </w:tcPr>
          <w:p w14:paraId="7505DCAE" w14:textId="7A45CC5B"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100 154</w:t>
            </w:r>
          </w:p>
        </w:tc>
        <w:tc>
          <w:tcPr>
            <w:tcW w:w="1174" w:type="dxa"/>
            <w:tcBorders>
              <w:bottom w:val="dotted" w:sz="4" w:space="0" w:color="auto"/>
            </w:tcBorders>
            <w:vAlign w:val="bottom"/>
          </w:tcPr>
          <w:p w14:paraId="7CEFF54B" w14:textId="21E6AA94"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11,4</w:t>
            </w:r>
          </w:p>
        </w:tc>
      </w:tr>
      <w:tr w:rsidR="00610BF5" w14:paraId="278A9C1E" w14:textId="77777777" w:rsidTr="00BC6FBB">
        <w:tc>
          <w:tcPr>
            <w:tcW w:w="2344" w:type="dxa"/>
            <w:vMerge/>
            <w:tcBorders>
              <w:top w:val="dotted" w:sz="4" w:space="0" w:color="auto"/>
              <w:bottom w:val="single" w:sz="4" w:space="0" w:color="000000"/>
            </w:tcBorders>
            <w:vAlign w:val="center"/>
          </w:tcPr>
          <w:p w14:paraId="18C981F0"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058A9D2C" w14:textId="4640C02F" w:rsidR="00610BF5" w:rsidRDefault="00610BF5"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top w:val="dotted" w:sz="4" w:space="0" w:color="auto"/>
              <w:left w:val="single" w:sz="4" w:space="0" w:color="000000" w:themeColor="text1"/>
              <w:bottom w:val="single" w:sz="4" w:space="0" w:color="000000" w:themeColor="text1"/>
            </w:tcBorders>
            <w:vAlign w:val="bottom"/>
          </w:tcPr>
          <w:p w14:paraId="31BC5150" w14:textId="3FAB34B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51 004</w:t>
            </w:r>
          </w:p>
        </w:tc>
        <w:tc>
          <w:tcPr>
            <w:tcW w:w="1174" w:type="dxa"/>
            <w:tcBorders>
              <w:top w:val="dotted" w:sz="4" w:space="0" w:color="auto"/>
              <w:bottom w:val="single" w:sz="4" w:space="0" w:color="000000" w:themeColor="text1"/>
            </w:tcBorders>
            <w:vAlign w:val="bottom"/>
          </w:tcPr>
          <w:p w14:paraId="208849F9" w14:textId="655AA0F5"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6,9</w:t>
            </w:r>
          </w:p>
        </w:tc>
      </w:tr>
      <w:tr w:rsidR="00610BF5" w14:paraId="5CE12650" w14:textId="77777777" w:rsidTr="00BC6FBB">
        <w:tc>
          <w:tcPr>
            <w:tcW w:w="2344" w:type="dxa"/>
            <w:vMerge w:val="restart"/>
            <w:tcBorders>
              <w:top w:val="single" w:sz="4" w:space="0" w:color="000000" w:themeColor="text1"/>
            </w:tcBorders>
            <w:vAlign w:val="center"/>
          </w:tcPr>
          <w:p w14:paraId="0B93E964" w14:textId="6600BBC5"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Główne źródło utrzymania</w:t>
            </w:r>
          </w:p>
        </w:tc>
        <w:tc>
          <w:tcPr>
            <w:tcW w:w="3883" w:type="dxa"/>
            <w:tcBorders>
              <w:top w:val="single" w:sz="4" w:space="0" w:color="000000" w:themeColor="text1"/>
              <w:bottom w:val="dotted" w:sz="4" w:space="0" w:color="auto"/>
              <w:right w:val="single" w:sz="4" w:space="0" w:color="000000" w:themeColor="text1"/>
            </w:tcBorders>
            <w:vAlign w:val="bottom"/>
          </w:tcPr>
          <w:p w14:paraId="446D6789" w14:textId="4B682253" w:rsidR="00610BF5" w:rsidRPr="00BC6FBB" w:rsidRDefault="00610BF5" w:rsidP="000D082D">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robotniczym</w:t>
            </w:r>
          </w:p>
        </w:tc>
        <w:tc>
          <w:tcPr>
            <w:tcW w:w="1398" w:type="dxa"/>
            <w:tcBorders>
              <w:top w:val="single" w:sz="4" w:space="0" w:color="000000" w:themeColor="text1"/>
              <w:left w:val="single" w:sz="4" w:space="0" w:color="000000" w:themeColor="text1"/>
            </w:tcBorders>
            <w:vAlign w:val="bottom"/>
          </w:tcPr>
          <w:p w14:paraId="3429D42D" w14:textId="1F2B25A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434 505</w:t>
            </w:r>
          </w:p>
        </w:tc>
        <w:tc>
          <w:tcPr>
            <w:tcW w:w="1174" w:type="dxa"/>
            <w:tcBorders>
              <w:top w:val="single" w:sz="4" w:space="0" w:color="000000" w:themeColor="text1"/>
            </w:tcBorders>
            <w:vAlign w:val="bottom"/>
          </w:tcPr>
          <w:p w14:paraId="43BDA148" w14:textId="38AD0867"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13,2</w:t>
            </w:r>
          </w:p>
        </w:tc>
      </w:tr>
      <w:tr w:rsidR="00610BF5" w14:paraId="6EB1536F" w14:textId="77777777" w:rsidTr="00BC6FBB">
        <w:tc>
          <w:tcPr>
            <w:tcW w:w="2344" w:type="dxa"/>
            <w:vMerge/>
            <w:vAlign w:val="center"/>
          </w:tcPr>
          <w:p w14:paraId="4487BF20"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26BC1654" w14:textId="2623CF52" w:rsidR="00610BF5" w:rsidRPr="00BC6FBB" w:rsidRDefault="00610BF5" w:rsidP="005B0797">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nierobotniczym</w:t>
            </w:r>
          </w:p>
        </w:tc>
        <w:tc>
          <w:tcPr>
            <w:tcW w:w="1398" w:type="dxa"/>
            <w:tcBorders>
              <w:left w:val="single" w:sz="4" w:space="0" w:color="000000" w:themeColor="text1"/>
            </w:tcBorders>
            <w:vAlign w:val="bottom"/>
          </w:tcPr>
          <w:p w14:paraId="18B156FB" w14:textId="1C3579C4"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323 512</w:t>
            </w:r>
          </w:p>
        </w:tc>
        <w:tc>
          <w:tcPr>
            <w:tcW w:w="1174" w:type="dxa"/>
            <w:vAlign w:val="bottom"/>
          </w:tcPr>
          <w:p w14:paraId="66629314" w14:textId="5C2D7736"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9,7</w:t>
            </w:r>
          </w:p>
        </w:tc>
      </w:tr>
      <w:tr w:rsidR="00610BF5" w14:paraId="66F18FDC" w14:textId="77777777" w:rsidTr="00BC6FBB">
        <w:tc>
          <w:tcPr>
            <w:tcW w:w="2344" w:type="dxa"/>
            <w:vMerge/>
            <w:vAlign w:val="center"/>
          </w:tcPr>
          <w:p w14:paraId="23DABC1E"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196F88DE" w14:textId="7EF68C5A"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użytkowanie gospodarstwa rolnego</w:t>
            </w:r>
          </w:p>
        </w:tc>
        <w:tc>
          <w:tcPr>
            <w:tcW w:w="1398" w:type="dxa"/>
            <w:tcBorders>
              <w:left w:val="single" w:sz="4" w:space="0" w:color="000000" w:themeColor="text1"/>
            </w:tcBorders>
            <w:vAlign w:val="bottom"/>
          </w:tcPr>
          <w:p w14:paraId="66E26870" w14:textId="3FF316D9"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91 834</w:t>
            </w:r>
          </w:p>
        </w:tc>
        <w:tc>
          <w:tcPr>
            <w:tcW w:w="1174" w:type="dxa"/>
            <w:vAlign w:val="bottom"/>
          </w:tcPr>
          <w:p w14:paraId="16CD8EF2" w14:textId="4771F1A6"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17,4</w:t>
            </w:r>
          </w:p>
        </w:tc>
      </w:tr>
      <w:tr w:rsidR="00610BF5" w14:paraId="61F7EA7E" w14:textId="77777777" w:rsidTr="00BC6FBB">
        <w:tc>
          <w:tcPr>
            <w:tcW w:w="2344" w:type="dxa"/>
            <w:vMerge/>
            <w:vAlign w:val="center"/>
          </w:tcPr>
          <w:p w14:paraId="5C28E2BB"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278F0AC8" w14:textId="07BC689F"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praca na własny rachunek</w:t>
            </w:r>
          </w:p>
        </w:tc>
        <w:tc>
          <w:tcPr>
            <w:tcW w:w="1398" w:type="dxa"/>
            <w:tcBorders>
              <w:left w:val="single" w:sz="4" w:space="0" w:color="000000" w:themeColor="text1"/>
            </w:tcBorders>
            <w:vAlign w:val="bottom"/>
          </w:tcPr>
          <w:p w14:paraId="359D753F" w14:textId="14CEAA1D"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119 896</w:t>
            </w:r>
          </w:p>
        </w:tc>
        <w:tc>
          <w:tcPr>
            <w:tcW w:w="1174" w:type="dxa"/>
            <w:vAlign w:val="bottom"/>
          </w:tcPr>
          <w:p w14:paraId="74A7BC83" w14:textId="191678F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13,0</w:t>
            </w:r>
          </w:p>
        </w:tc>
      </w:tr>
      <w:tr w:rsidR="00610BF5" w:rsidRPr="00132F7C" w14:paraId="3F185935" w14:textId="77777777" w:rsidTr="00BC6FBB">
        <w:tc>
          <w:tcPr>
            <w:tcW w:w="2344" w:type="dxa"/>
            <w:vMerge/>
            <w:tcBorders>
              <w:bottom w:val="dotted" w:sz="4" w:space="0" w:color="auto"/>
            </w:tcBorders>
            <w:vAlign w:val="center"/>
          </w:tcPr>
          <w:p w14:paraId="7EEBDC2E"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396ACCF1" w14:textId="261AD458" w:rsidR="00610BF5" w:rsidRPr="00BC6FBB" w:rsidRDefault="00610BF5" w:rsidP="000D082D">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emerytura, renta lub inne niezarobkowe źródło</w:t>
            </w:r>
          </w:p>
        </w:tc>
        <w:tc>
          <w:tcPr>
            <w:tcW w:w="1398" w:type="dxa"/>
            <w:tcBorders>
              <w:left w:val="single" w:sz="4" w:space="0" w:color="000000" w:themeColor="text1"/>
            </w:tcBorders>
            <w:vAlign w:val="center"/>
          </w:tcPr>
          <w:p w14:paraId="514519AF" w14:textId="6F656DF8"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1 386 954</w:t>
            </w:r>
          </w:p>
        </w:tc>
        <w:tc>
          <w:tcPr>
            <w:tcW w:w="1174" w:type="dxa"/>
            <w:vAlign w:val="center"/>
          </w:tcPr>
          <w:p w14:paraId="62F72A23" w14:textId="4DB60EEB"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26,5</w:t>
            </w:r>
          </w:p>
        </w:tc>
      </w:tr>
    </w:tbl>
    <w:p w14:paraId="73D72938" w14:textId="7773C703" w:rsidR="000D082D" w:rsidRPr="00BC6FBB" w:rsidRDefault="00A85D84" w:rsidP="000D082D">
      <w:pPr>
        <w:autoSpaceDE w:val="0"/>
        <w:autoSpaceDN w:val="0"/>
        <w:adjustRightInd w:val="0"/>
        <w:spacing w:after="0" w:line="276" w:lineRule="auto"/>
        <w:rPr>
          <w:rFonts w:cs="Arial"/>
          <w:b/>
          <w:sz w:val="20"/>
          <w:szCs w:val="20"/>
        </w:rPr>
      </w:pPr>
      <w:r w:rsidRPr="00A85D84">
        <w:rPr>
          <w:rFonts w:cs="Arial"/>
          <w:b/>
          <w:sz w:val="20"/>
          <w:szCs w:val="20"/>
        </w:rPr>
        <w:t xml:space="preserve">Tabela … </w:t>
      </w:r>
      <w:r w:rsidRPr="00A85D84">
        <w:rPr>
          <w:b/>
          <w:sz w:val="20"/>
          <w:szCs w:val="20"/>
        </w:rPr>
        <w:t xml:space="preserve">Wyniki dla subpopulacji wskaźnika </w:t>
      </w:r>
      <w:r w:rsidRPr="00A85D84">
        <w:rPr>
          <w:rFonts w:cs="Arial"/>
          <w:b/>
          <w:sz w:val="20"/>
          <w:szCs w:val="20"/>
        </w:rPr>
        <w:t>Budynek z przeciekającym dachem, zawilgoconymi ścianami, podłogami, fundamentami, butwiejącymi oknami lub podłogami</w:t>
      </w:r>
    </w:p>
    <w:tbl>
      <w:tblPr>
        <w:tblStyle w:val="Tabela-Siatka"/>
        <w:tblW w:w="0" w:type="auto"/>
        <w:tblBorders>
          <w:insideH w:val="dotted" w:sz="4" w:space="0" w:color="auto"/>
          <w:insideV w:val="dotted" w:sz="4" w:space="0" w:color="auto"/>
        </w:tblBorders>
        <w:tblLook w:val="04A0" w:firstRow="1" w:lastRow="0" w:firstColumn="1" w:lastColumn="0" w:noHBand="0" w:noVBand="1"/>
      </w:tblPr>
      <w:tblGrid>
        <w:gridCol w:w="2344"/>
        <w:gridCol w:w="3883"/>
        <w:gridCol w:w="1398"/>
        <w:gridCol w:w="1174"/>
      </w:tblGrid>
      <w:tr w:rsidR="00D000C6" w14:paraId="59A351F5" w14:textId="77777777" w:rsidTr="00D000C6">
        <w:tc>
          <w:tcPr>
            <w:tcW w:w="6227" w:type="dxa"/>
            <w:gridSpan w:val="2"/>
            <w:tcBorders>
              <w:top w:val="single" w:sz="4" w:space="0" w:color="000000" w:themeColor="text1"/>
              <w:bottom w:val="single" w:sz="4" w:space="0" w:color="000000" w:themeColor="text1"/>
              <w:right w:val="single" w:sz="4" w:space="0" w:color="000000" w:themeColor="text1"/>
            </w:tcBorders>
            <w:shd w:val="clear" w:color="auto" w:fill="FFFF00"/>
            <w:vAlign w:val="center"/>
          </w:tcPr>
          <w:p w14:paraId="00866D8B" w14:textId="02995CE5" w:rsidR="00D000C6" w:rsidRPr="00BC6FBB" w:rsidRDefault="00A85D84" w:rsidP="000D082D">
            <w:pPr>
              <w:autoSpaceDE w:val="0"/>
              <w:autoSpaceDN w:val="0"/>
              <w:adjustRightInd w:val="0"/>
              <w:spacing w:after="0" w:line="276" w:lineRule="auto"/>
              <w:jc w:val="center"/>
              <w:rPr>
                <w:rFonts w:cs="Arial"/>
                <w:b/>
                <w:sz w:val="20"/>
                <w:szCs w:val="20"/>
                <w:lang w:val="pl-PL"/>
              </w:rPr>
            </w:pPr>
            <w:r w:rsidRPr="00A85D84">
              <w:rPr>
                <w:rFonts w:cs="Arial"/>
                <w:b/>
                <w:sz w:val="20"/>
                <w:szCs w:val="20"/>
                <w:lang w:val="pl-PL"/>
              </w:rPr>
              <w:t>Budynek z przeciekającym dachem, zawilgoconymi ścianami, podłogami, fundamentami, butwiejącymi oknami lub podłogami</w:t>
            </w:r>
          </w:p>
        </w:tc>
        <w:tc>
          <w:tcPr>
            <w:tcW w:w="1398" w:type="dxa"/>
            <w:tcBorders>
              <w:top w:val="single" w:sz="4" w:space="0" w:color="000000" w:themeColor="text1"/>
              <w:left w:val="single" w:sz="4" w:space="0" w:color="000000" w:themeColor="text1"/>
              <w:bottom w:val="single" w:sz="4" w:space="0" w:color="000000" w:themeColor="text1"/>
            </w:tcBorders>
            <w:shd w:val="clear" w:color="auto" w:fill="FFFF00"/>
          </w:tcPr>
          <w:p w14:paraId="40252F49" w14:textId="0717DA32"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Wartość</w:t>
            </w:r>
          </w:p>
        </w:tc>
        <w:tc>
          <w:tcPr>
            <w:tcW w:w="1174" w:type="dxa"/>
            <w:tcBorders>
              <w:top w:val="single" w:sz="4" w:space="0" w:color="000000" w:themeColor="text1"/>
              <w:bottom w:val="single" w:sz="4" w:space="0" w:color="000000" w:themeColor="text1"/>
            </w:tcBorders>
            <w:shd w:val="clear" w:color="auto" w:fill="FFFF00"/>
          </w:tcPr>
          <w:p w14:paraId="6D93C96D" w14:textId="420BF7AB"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Udział [%]</w:t>
            </w:r>
          </w:p>
        </w:tc>
      </w:tr>
      <w:tr w:rsidR="00610BF5" w14:paraId="7582F5B8" w14:textId="77777777" w:rsidTr="00D000C6">
        <w:tc>
          <w:tcPr>
            <w:tcW w:w="6227" w:type="dxa"/>
            <w:gridSpan w:val="2"/>
            <w:tcBorders>
              <w:top w:val="single" w:sz="4" w:space="0" w:color="000000" w:themeColor="text1"/>
              <w:bottom w:val="dotted" w:sz="4" w:space="0" w:color="auto"/>
              <w:right w:val="single" w:sz="4" w:space="0" w:color="000000" w:themeColor="text1"/>
            </w:tcBorders>
            <w:vAlign w:val="center"/>
          </w:tcPr>
          <w:p w14:paraId="698C0B7A" w14:textId="1F664CA0"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Gospodarstwa domowe</w:t>
            </w:r>
          </w:p>
        </w:tc>
        <w:tc>
          <w:tcPr>
            <w:tcW w:w="1398" w:type="dxa"/>
            <w:tcBorders>
              <w:top w:val="single" w:sz="4" w:space="0" w:color="000000" w:themeColor="text1"/>
              <w:left w:val="single" w:sz="4" w:space="0" w:color="000000" w:themeColor="text1"/>
            </w:tcBorders>
          </w:tcPr>
          <w:p w14:paraId="3CA1419B" w14:textId="596567D7"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1 046 181</w:t>
            </w:r>
          </w:p>
        </w:tc>
        <w:tc>
          <w:tcPr>
            <w:tcW w:w="1174" w:type="dxa"/>
            <w:tcBorders>
              <w:top w:val="single" w:sz="4" w:space="0" w:color="000000" w:themeColor="text1"/>
            </w:tcBorders>
          </w:tcPr>
          <w:p w14:paraId="115E9B92" w14:textId="17259C44"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7,9</w:t>
            </w:r>
          </w:p>
        </w:tc>
      </w:tr>
      <w:tr w:rsidR="00610BF5" w14:paraId="052D0206" w14:textId="77777777" w:rsidTr="00D000C6">
        <w:tc>
          <w:tcPr>
            <w:tcW w:w="6227" w:type="dxa"/>
            <w:gridSpan w:val="2"/>
            <w:tcBorders>
              <w:top w:val="dotted" w:sz="4" w:space="0" w:color="auto"/>
              <w:bottom w:val="dotted" w:sz="4" w:space="0" w:color="auto"/>
              <w:right w:val="single" w:sz="4" w:space="0" w:color="000000" w:themeColor="text1"/>
            </w:tcBorders>
            <w:vAlign w:val="center"/>
          </w:tcPr>
          <w:p w14:paraId="3C199133" w14:textId="4CDCD03C"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jednorodzinne</w:t>
            </w:r>
          </w:p>
        </w:tc>
        <w:tc>
          <w:tcPr>
            <w:tcW w:w="1398" w:type="dxa"/>
            <w:tcBorders>
              <w:left w:val="single" w:sz="4" w:space="0" w:color="000000" w:themeColor="text1"/>
              <w:bottom w:val="dotted" w:sz="4" w:space="0" w:color="auto"/>
            </w:tcBorders>
          </w:tcPr>
          <w:p w14:paraId="3BE42705" w14:textId="00D41583" w:rsidR="00610BF5" w:rsidRPr="00FB4648"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493 493</w:t>
            </w:r>
          </w:p>
        </w:tc>
        <w:tc>
          <w:tcPr>
            <w:tcW w:w="1174" w:type="dxa"/>
            <w:tcBorders>
              <w:bottom w:val="dotted" w:sz="4" w:space="0" w:color="auto"/>
            </w:tcBorders>
          </w:tcPr>
          <w:p w14:paraId="3AB9CE52" w14:textId="2FD2C526" w:rsidR="00610BF5" w:rsidRPr="00FB4648"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8,3</w:t>
            </w:r>
          </w:p>
        </w:tc>
      </w:tr>
      <w:tr w:rsidR="00610BF5" w14:paraId="757A1B77" w14:textId="77777777" w:rsidTr="00D000C6">
        <w:tc>
          <w:tcPr>
            <w:tcW w:w="6227" w:type="dxa"/>
            <w:gridSpan w:val="2"/>
            <w:tcBorders>
              <w:top w:val="dotted" w:sz="4" w:space="0" w:color="auto"/>
              <w:bottom w:val="single" w:sz="4" w:space="0" w:color="000000" w:themeColor="text1"/>
              <w:right w:val="single" w:sz="4" w:space="0" w:color="000000" w:themeColor="text1"/>
            </w:tcBorders>
            <w:vAlign w:val="center"/>
          </w:tcPr>
          <w:p w14:paraId="2AB358AD" w14:textId="3F5AE4F9"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wielorodzinne</w:t>
            </w:r>
          </w:p>
        </w:tc>
        <w:tc>
          <w:tcPr>
            <w:tcW w:w="1398" w:type="dxa"/>
            <w:tcBorders>
              <w:top w:val="dotted" w:sz="4" w:space="0" w:color="auto"/>
              <w:left w:val="single" w:sz="4" w:space="0" w:color="000000" w:themeColor="text1"/>
              <w:bottom w:val="single" w:sz="4" w:space="0" w:color="000000" w:themeColor="text1"/>
            </w:tcBorders>
          </w:tcPr>
          <w:p w14:paraId="3D5DBD0A" w14:textId="7FD663C8" w:rsidR="00610BF5" w:rsidRPr="00FB4648"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552 687</w:t>
            </w:r>
          </w:p>
        </w:tc>
        <w:tc>
          <w:tcPr>
            <w:tcW w:w="1174" w:type="dxa"/>
            <w:tcBorders>
              <w:top w:val="dotted" w:sz="4" w:space="0" w:color="auto"/>
              <w:bottom w:val="single" w:sz="4" w:space="0" w:color="000000" w:themeColor="text1"/>
            </w:tcBorders>
          </w:tcPr>
          <w:p w14:paraId="5029FA74" w14:textId="50E2809C" w:rsidR="00610BF5" w:rsidRPr="00FB4648"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7,5</w:t>
            </w:r>
          </w:p>
        </w:tc>
      </w:tr>
      <w:tr w:rsidR="00610BF5" w:rsidRPr="000D59EA" w14:paraId="6BB8E5F0" w14:textId="77777777" w:rsidTr="00BC6FBB">
        <w:tc>
          <w:tcPr>
            <w:tcW w:w="2344" w:type="dxa"/>
            <w:vMerge w:val="restart"/>
            <w:tcBorders>
              <w:top w:val="single" w:sz="4" w:space="0" w:color="000000" w:themeColor="text1"/>
              <w:bottom w:val="dotted" w:sz="4" w:space="0" w:color="auto"/>
            </w:tcBorders>
            <w:vAlign w:val="center"/>
          </w:tcPr>
          <w:p w14:paraId="687C9093" w14:textId="6C8E79C0" w:rsidR="00610BF5" w:rsidRPr="00BC6FBB" w:rsidRDefault="00610BF5"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Domy jednorodzinne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0DC34A6C" w14:textId="4DC1906C"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tcBorders>
            <w:vAlign w:val="bottom"/>
          </w:tcPr>
          <w:p w14:paraId="180ABDBF" w14:textId="116CF3EF"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208 596</w:t>
            </w:r>
          </w:p>
        </w:tc>
        <w:tc>
          <w:tcPr>
            <w:tcW w:w="1174" w:type="dxa"/>
            <w:tcBorders>
              <w:top w:val="single" w:sz="4" w:space="0" w:color="000000" w:themeColor="text1"/>
            </w:tcBorders>
            <w:vAlign w:val="bottom"/>
          </w:tcPr>
          <w:p w14:paraId="6F1DF7D0" w14:textId="70534364"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20,4</w:t>
            </w:r>
          </w:p>
        </w:tc>
      </w:tr>
      <w:tr w:rsidR="00610BF5" w:rsidRPr="000D59EA" w14:paraId="6520F8B0" w14:textId="77777777" w:rsidTr="00BC6FBB">
        <w:tc>
          <w:tcPr>
            <w:tcW w:w="2344" w:type="dxa"/>
            <w:vMerge/>
            <w:tcBorders>
              <w:top w:val="dotted" w:sz="4" w:space="0" w:color="auto"/>
              <w:bottom w:val="dotted" w:sz="4" w:space="0" w:color="auto"/>
            </w:tcBorders>
            <w:vAlign w:val="center"/>
          </w:tcPr>
          <w:p w14:paraId="2F5A204D"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2F95E40B" w14:textId="29333474"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left w:val="single" w:sz="4" w:space="0" w:color="000000" w:themeColor="text1"/>
            </w:tcBorders>
            <w:vAlign w:val="bottom"/>
          </w:tcPr>
          <w:p w14:paraId="245A4B12" w14:textId="3D1AE28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117 461</w:t>
            </w:r>
          </w:p>
        </w:tc>
        <w:tc>
          <w:tcPr>
            <w:tcW w:w="1174" w:type="dxa"/>
            <w:vAlign w:val="bottom"/>
          </w:tcPr>
          <w:p w14:paraId="36FEB98C" w14:textId="40C14EA4"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13,6</w:t>
            </w:r>
          </w:p>
        </w:tc>
      </w:tr>
      <w:tr w:rsidR="00610BF5" w:rsidRPr="000D59EA" w14:paraId="180E0FF6" w14:textId="77777777" w:rsidTr="00BC6FBB">
        <w:tc>
          <w:tcPr>
            <w:tcW w:w="2344" w:type="dxa"/>
            <w:vMerge/>
            <w:tcBorders>
              <w:top w:val="dotted" w:sz="4" w:space="0" w:color="auto"/>
              <w:bottom w:val="dotted" w:sz="4" w:space="0" w:color="auto"/>
            </w:tcBorders>
            <w:vAlign w:val="center"/>
          </w:tcPr>
          <w:p w14:paraId="3CF1670F"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140B6C3D" w14:textId="6317C268"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vAlign w:val="bottom"/>
          </w:tcPr>
          <w:p w14:paraId="15442612" w14:textId="7514817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123 318</w:t>
            </w:r>
          </w:p>
        </w:tc>
        <w:tc>
          <w:tcPr>
            <w:tcW w:w="1174" w:type="dxa"/>
            <w:vAlign w:val="bottom"/>
          </w:tcPr>
          <w:p w14:paraId="72754612" w14:textId="46A44D04"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6,6</w:t>
            </w:r>
          </w:p>
        </w:tc>
      </w:tr>
      <w:tr w:rsidR="00610BF5" w:rsidRPr="000D59EA" w14:paraId="0B52ED04" w14:textId="77777777" w:rsidTr="00BC6FBB">
        <w:tc>
          <w:tcPr>
            <w:tcW w:w="2344" w:type="dxa"/>
            <w:vMerge/>
            <w:tcBorders>
              <w:top w:val="dotted" w:sz="4" w:space="0" w:color="auto"/>
              <w:bottom w:val="dotted" w:sz="4" w:space="0" w:color="auto"/>
            </w:tcBorders>
            <w:vAlign w:val="center"/>
          </w:tcPr>
          <w:p w14:paraId="6E8707BD"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4D40C06A" w14:textId="4712D98C"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vAlign w:val="bottom"/>
          </w:tcPr>
          <w:p w14:paraId="48228BEF" w14:textId="419241C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41 054</w:t>
            </w:r>
          </w:p>
        </w:tc>
        <w:tc>
          <w:tcPr>
            <w:tcW w:w="1174" w:type="dxa"/>
            <w:vAlign w:val="bottom"/>
          </w:tcPr>
          <w:p w14:paraId="705F191A" w14:textId="26369BCA"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3,5</w:t>
            </w:r>
          </w:p>
        </w:tc>
      </w:tr>
      <w:tr w:rsidR="00610BF5" w:rsidRPr="000D59EA" w14:paraId="5A012F14" w14:textId="77777777" w:rsidTr="00BC6FBB">
        <w:tc>
          <w:tcPr>
            <w:tcW w:w="2344" w:type="dxa"/>
            <w:vMerge/>
            <w:tcBorders>
              <w:top w:val="dotted" w:sz="4" w:space="0" w:color="auto"/>
              <w:bottom w:val="dotted" w:sz="4" w:space="0" w:color="auto"/>
            </w:tcBorders>
            <w:vAlign w:val="center"/>
          </w:tcPr>
          <w:p w14:paraId="075B5B98"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56D57EFB" w14:textId="1D1E705B"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tcBorders>
            <w:vAlign w:val="bottom"/>
          </w:tcPr>
          <w:p w14:paraId="577535D4" w14:textId="1989AC50"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1 874</w:t>
            </w:r>
          </w:p>
        </w:tc>
        <w:tc>
          <w:tcPr>
            <w:tcW w:w="1174" w:type="dxa"/>
            <w:vAlign w:val="bottom"/>
          </w:tcPr>
          <w:p w14:paraId="469EED44" w14:textId="535298CA"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0,3</w:t>
            </w:r>
          </w:p>
        </w:tc>
      </w:tr>
      <w:tr w:rsidR="00610BF5" w:rsidRPr="000D59EA" w14:paraId="75C89A2B" w14:textId="77777777" w:rsidTr="00BC6FBB">
        <w:tc>
          <w:tcPr>
            <w:tcW w:w="2344" w:type="dxa"/>
            <w:vMerge/>
            <w:tcBorders>
              <w:top w:val="dotted" w:sz="4" w:space="0" w:color="auto"/>
              <w:bottom w:val="single" w:sz="4" w:space="0" w:color="000000"/>
            </w:tcBorders>
            <w:vAlign w:val="center"/>
          </w:tcPr>
          <w:p w14:paraId="7A780940"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6A07C72C" w14:textId="41AACBD7" w:rsidR="00610BF5" w:rsidRDefault="00610BF5"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left w:val="single" w:sz="4" w:space="0" w:color="000000" w:themeColor="text1"/>
              <w:bottom w:val="single" w:sz="4" w:space="0" w:color="000000" w:themeColor="text1"/>
            </w:tcBorders>
            <w:vAlign w:val="bottom"/>
          </w:tcPr>
          <w:p w14:paraId="4770C49E" w14:textId="6D32624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1 190</w:t>
            </w:r>
          </w:p>
        </w:tc>
        <w:tc>
          <w:tcPr>
            <w:tcW w:w="1174" w:type="dxa"/>
            <w:tcBorders>
              <w:bottom w:val="single" w:sz="4" w:space="0" w:color="000000" w:themeColor="text1"/>
            </w:tcBorders>
            <w:vAlign w:val="bottom"/>
          </w:tcPr>
          <w:p w14:paraId="4C33AEE0" w14:textId="2DCCDE7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0,3</w:t>
            </w:r>
          </w:p>
        </w:tc>
      </w:tr>
      <w:tr w:rsidR="00610BF5" w14:paraId="335307B8" w14:textId="77777777" w:rsidTr="00BC6FBB">
        <w:tc>
          <w:tcPr>
            <w:tcW w:w="2344" w:type="dxa"/>
            <w:vMerge w:val="restart"/>
            <w:tcBorders>
              <w:top w:val="single" w:sz="4" w:space="0" w:color="000000" w:themeColor="text1"/>
              <w:bottom w:val="dotted" w:sz="4" w:space="0" w:color="auto"/>
            </w:tcBorders>
            <w:vAlign w:val="center"/>
          </w:tcPr>
          <w:p w14:paraId="2BCF58CF" w14:textId="722F20C9" w:rsidR="00610BF5" w:rsidRPr="00BC6FBB" w:rsidRDefault="00610BF5"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 xml:space="preserve">Domy </w:t>
            </w:r>
            <w:r>
              <w:rPr>
                <w:rFonts w:cs="Arial"/>
                <w:sz w:val="20"/>
                <w:szCs w:val="20"/>
                <w:lang w:val="pl-PL"/>
              </w:rPr>
              <w:t>wielorodzinne</w:t>
            </w:r>
            <w:r w:rsidRPr="00D000C6">
              <w:rPr>
                <w:rFonts w:cs="Arial"/>
                <w:sz w:val="20"/>
                <w:szCs w:val="20"/>
                <w:lang w:val="pl-PL"/>
              </w:rPr>
              <w:t xml:space="preserv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4C8EDA56" w14:textId="2271135E"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bottom w:val="dotted" w:sz="4" w:space="0" w:color="auto"/>
            </w:tcBorders>
            <w:vAlign w:val="bottom"/>
          </w:tcPr>
          <w:p w14:paraId="1F5AE69E" w14:textId="6070B0C7"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331 423</w:t>
            </w:r>
          </w:p>
        </w:tc>
        <w:tc>
          <w:tcPr>
            <w:tcW w:w="1174" w:type="dxa"/>
            <w:tcBorders>
              <w:top w:val="single" w:sz="4" w:space="0" w:color="000000" w:themeColor="text1"/>
              <w:bottom w:val="dotted" w:sz="4" w:space="0" w:color="auto"/>
            </w:tcBorders>
            <w:vAlign w:val="bottom"/>
          </w:tcPr>
          <w:p w14:paraId="7D4DF8E9" w14:textId="317B799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23,9</w:t>
            </w:r>
          </w:p>
        </w:tc>
      </w:tr>
      <w:tr w:rsidR="00610BF5" w14:paraId="41C1F0D1" w14:textId="77777777" w:rsidTr="00BC6FBB">
        <w:tc>
          <w:tcPr>
            <w:tcW w:w="2344" w:type="dxa"/>
            <w:vMerge/>
            <w:tcBorders>
              <w:top w:val="dotted" w:sz="4" w:space="0" w:color="auto"/>
              <w:bottom w:val="dotted" w:sz="4" w:space="0" w:color="auto"/>
            </w:tcBorders>
            <w:vAlign w:val="center"/>
          </w:tcPr>
          <w:p w14:paraId="135BE81A"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47E3E125" w14:textId="221169F4"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top w:val="dotted" w:sz="4" w:space="0" w:color="auto"/>
              <w:left w:val="single" w:sz="4" w:space="0" w:color="000000" w:themeColor="text1"/>
            </w:tcBorders>
            <w:vAlign w:val="bottom"/>
          </w:tcPr>
          <w:p w14:paraId="0C412F06" w14:textId="563DD105"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78 293</w:t>
            </w:r>
          </w:p>
        </w:tc>
        <w:tc>
          <w:tcPr>
            <w:tcW w:w="1174" w:type="dxa"/>
            <w:tcBorders>
              <w:top w:val="dotted" w:sz="4" w:space="0" w:color="auto"/>
            </w:tcBorders>
            <w:vAlign w:val="bottom"/>
          </w:tcPr>
          <w:p w14:paraId="3BB59FD8" w14:textId="1CB479B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10,2</w:t>
            </w:r>
          </w:p>
        </w:tc>
      </w:tr>
      <w:tr w:rsidR="00610BF5" w14:paraId="79450A3D" w14:textId="77777777" w:rsidTr="00BC6FBB">
        <w:tc>
          <w:tcPr>
            <w:tcW w:w="2344" w:type="dxa"/>
            <w:vMerge/>
            <w:tcBorders>
              <w:top w:val="dotted" w:sz="4" w:space="0" w:color="auto"/>
              <w:bottom w:val="dotted" w:sz="4" w:space="0" w:color="auto"/>
            </w:tcBorders>
            <w:vAlign w:val="center"/>
          </w:tcPr>
          <w:p w14:paraId="4840697A"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6A1B4835" w14:textId="3E30EAB5"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vAlign w:val="bottom"/>
          </w:tcPr>
          <w:p w14:paraId="33ADFFC2" w14:textId="1D3C3FB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96 584</w:t>
            </w:r>
          </w:p>
        </w:tc>
        <w:tc>
          <w:tcPr>
            <w:tcW w:w="1174" w:type="dxa"/>
            <w:vAlign w:val="bottom"/>
          </w:tcPr>
          <w:p w14:paraId="35397B89" w14:textId="1C69D076"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3,4</w:t>
            </w:r>
          </w:p>
        </w:tc>
      </w:tr>
      <w:tr w:rsidR="00610BF5" w14:paraId="39DEFE95" w14:textId="77777777" w:rsidTr="00BC6FBB">
        <w:tc>
          <w:tcPr>
            <w:tcW w:w="2344" w:type="dxa"/>
            <w:vMerge/>
            <w:tcBorders>
              <w:top w:val="dotted" w:sz="4" w:space="0" w:color="auto"/>
              <w:bottom w:val="dotted" w:sz="4" w:space="0" w:color="auto"/>
            </w:tcBorders>
            <w:vAlign w:val="center"/>
          </w:tcPr>
          <w:p w14:paraId="68A6AD56"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5D549ABA" w14:textId="6E950A37"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vAlign w:val="bottom"/>
          </w:tcPr>
          <w:p w14:paraId="11C0AD49" w14:textId="5362E309"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33 890</w:t>
            </w:r>
          </w:p>
        </w:tc>
        <w:tc>
          <w:tcPr>
            <w:tcW w:w="1174" w:type="dxa"/>
            <w:vAlign w:val="bottom"/>
          </w:tcPr>
          <w:p w14:paraId="27C48996" w14:textId="164B2085"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2,3</w:t>
            </w:r>
          </w:p>
        </w:tc>
      </w:tr>
      <w:tr w:rsidR="00610BF5" w14:paraId="1DAB8719" w14:textId="77777777" w:rsidTr="00BC6FBB">
        <w:tc>
          <w:tcPr>
            <w:tcW w:w="2344" w:type="dxa"/>
            <w:vMerge/>
            <w:tcBorders>
              <w:top w:val="dotted" w:sz="4" w:space="0" w:color="auto"/>
              <w:bottom w:val="dotted" w:sz="4" w:space="0" w:color="auto"/>
            </w:tcBorders>
            <w:vAlign w:val="center"/>
          </w:tcPr>
          <w:p w14:paraId="3AD971B9"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42EC86A5" w14:textId="69F341FE"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bottom w:val="dotted" w:sz="4" w:space="0" w:color="auto"/>
            </w:tcBorders>
            <w:vAlign w:val="bottom"/>
          </w:tcPr>
          <w:p w14:paraId="06F649E0" w14:textId="09645C58"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7 967</w:t>
            </w:r>
          </w:p>
        </w:tc>
        <w:tc>
          <w:tcPr>
            <w:tcW w:w="1174" w:type="dxa"/>
            <w:tcBorders>
              <w:bottom w:val="dotted" w:sz="4" w:space="0" w:color="auto"/>
            </w:tcBorders>
            <w:vAlign w:val="bottom"/>
          </w:tcPr>
          <w:p w14:paraId="317CD95D" w14:textId="29D7A8C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2,0</w:t>
            </w:r>
          </w:p>
        </w:tc>
      </w:tr>
      <w:tr w:rsidR="00610BF5" w14:paraId="010D3E83" w14:textId="77777777" w:rsidTr="00BC6FBB">
        <w:tc>
          <w:tcPr>
            <w:tcW w:w="2344" w:type="dxa"/>
            <w:vMerge/>
            <w:tcBorders>
              <w:top w:val="dotted" w:sz="4" w:space="0" w:color="auto"/>
              <w:bottom w:val="single" w:sz="4" w:space="0" w:color="000000"/>
            </w:tcBorders>
            <w:vAlign w:val="center"/>
          </w:tcPr>
          <w:p w14:paraId="586A9A67"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0CB256D6" w14:textId="53F6364C" w:rsidR="00610BF5" w:rsidRDefault="00610BF5"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top w:val="dotted" w:sz="4" w:space="0" w:color="auto"/>
              <w:left w:val="single" w:sz="4" w:space="0" w:color="000000" w:themeColor="text1"/>
              <w:bottom w:val="single" w:sz="4" w:space="0" w:color="000000" w:themeColor="text1"/>
            </w:tcBorders>
            <w:vAlign w:val="bottom"/>
          </w:tcPr>
          <w:p w14:paraId="30B9F50F" w14:textId="4FE20E5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4 532</w:t>
            </w:r>
          </w:p>
        </w:tc>
        <w:tc>
          <w:tcPr>
            <w:tcW w:w="1174" w:type="dxa"/>
            <w:tcBorders>
              <w:top w:val="dotted" w:sz="4" w:space="0" w:color="auto"/>
              <w:bottom w:val="single" w:sz="4" w:space="0" w:color="000000" w:themeColor="text1"/>
            </w:tcBorders>
            <w:vAlign w:val="bottom"/>
          </w:tcPr>
          <w:p w14:paraId="68FB0575" w14:textId="1A356A6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1,0</w:t>
            </w:r>
          </w:p>
        </w:tc>
      </w:tr>
      <w:tr w:rsidR="00610BF5" w14:paraId="3FF9C1B2" w14:textId="77777777" w:rsidTr="00BC6FBB">
        <w:tc>
          <w:tcPr>
            <w:tcW w:w="2344" w:type="dxa"/>
            <w:vMerge w:val="restart"/>
            <w:tcBorders>
              <w:top w:val="single" w:sz="4" w:space="0" w:color="000000" w:themeColor="text1"/>
              <w:bottom w:val="dotted" w:sz="4" w:space="0" w:color="auto"/>
            </w:tcBorders>
            <w:vAlign w:val="center"/>
          </w:tcPr>
          <w:p w14:paraId="7423D55E" w14:textId="6D0B319C"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Główne źródło utrzymania</w:t>
            </w:r>
          </w:p>
        </w:tc>
        <w:tc>
          <w:tcPr>
            <w:tcW w:w="3883" w:type="dxa"/>
            <w:tcBorders>
              <w:top w:val="single" w:sz="4" w:space="0" w:color="000000" w:themeColor="text1"/>
              <w:bottom w:val="dotted" w:sz="4" w:space="0" w:color="auto"/>
              <w:right w:val="single" w:sz="4" w:space="0" w:color="000000" w:themeColor="text1"/>
            </w:tcBorders>
            <w:vAlign w:val="bottom"/>
          </w:tcPr>
          <w:p w14:paraId="1DBD76AE" w14:textId="2541B288" w:rsidR="00610BF5" w:rsidRPr="00BC6FBB" w:rsidRDefault="00610BF5" w:rsidP="000D082D">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robotniczym</w:t>
            </w:r>
          </w:p>
        </w:tc>
        <w:tc>
          <w:tcPr>
            <w:tcW w:w="1398" w:type="dxa"/>
            <w:tcBorders>
              <w:top w:val="single" w:sz="4" w:space="0" w:color="000000" w:themeColor="text1"/>
              <w:left w:val="single" w:sz="4" w:space="0" w:color="000000" w:themeColor="text1"/>
            </w:tcBorders>
            <w:vAlign w:val="bottom"/>
          </w:tcPr>
          <w:p w14:paraId="087EB613" w14:textId="430984F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366 838</w:t>
            </w:r>
          </w:p>
        </w:tc>
        <w:tc>
          <w:tcPr>
            <w:tcW w:w="1174" w:type="dxa"/>
            <w:tcBorders>
              <w:top w:val="single" w:sz="4" w:space="0" w:color="000000" w:themeColor="text1"/>
            </w:tcBorders>
            <w:vAlign w:val="bottom"/>
          </w:tcPr>
          <w:p w14:paraId="001BA79C" w14:textId="7BC2C6F1"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11,2</w:t>
            </w:r>
          </w:p>
        </w:tc>
      </w:tr>
      <w:tr w:rsidR="00610BF5" w14:paraId="16E026C6" w14:textId="77777777" w:rsidTr="00BC6FBB">
        <w:tc>
          <w:tcPr>
            <w:tcW w:w="2344" w:type="dxa"/>
            <w:vMerge/>
            <w:tcBorders>
              <w:top w:val="dotted" w:sz="4" w:space="0" w:color="auto"/>
              <w:bottom w:val="dotted" w:sz="4" w:space="0" w:color="auto"/>
            </w:tcBorders>
            <w:vAlign w:val="center"/>
          </w:tcPr>
          <w:p w14:paraId="6B88A214"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73BECE60" w14:textId="73E0D3F2" w:rsidR="00610BF5" w:rsidRPr="00BC6FBB" w:rsidRDefault="00610BF5" w:rsidP="00BA246E">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nierobotniczym</w:t>
            </w:r>
          </w:p>
        </w:tc>
        <w:tc>
          <w:tcPr>
            <w:tcW w:w="1398" w:type="dxa"/>
            <w:tcBorders>
              <w:left w:val="single" w:sz="4" w:space="0" w:color="000000" w:themeColor="text1"/>
            </w:tcBorders>
            <w:vAlign w:val="bottom"/>
          </w:tcPr>
          <w:p w14:paraId="7A00357A" w14:textId="6382545F"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154 355</w:t>
            </w:r>
          </w:p>
        </w:tc>
        <w:tc>
          <w:tcPr>
            <w:tcW w:w="1174" w:type="dxa"/>
            <w:vAlign w:val="bottom"/>
          </w:tcPr>
          <w:p w14:paraId="75108C38" w14:textId="788A5B8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4,6</w:t>
            </w:r>
          </w:p>
        </w:tc>
      </w:tr>
      <w:tr w:rsidR="00610BF5" w14:paraId="62BD762A" w14:textId="77777777" w:rsidTr="00BC6FBB">
        <w:tc>
          <w:tcPr>
            <w:tcW w:w="2344" w:type="dxa"/>
            <w:vMerge/>
            <w:tcBorders>
              <w:top w:val="dotted" w:sz="4" w:space="0" w:color="auto"/>
              <w:bottom w:val="dotted" w:sz="4" w:space="0" w:color="auto"/>
            </w:tcBorders>
            <w:vAlign w:val="center"/>
          </w:tcPr>
          <w:p w14:paraId="303C3918"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11672C48" w14:textId="2C64FD60"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użytkowanie gospodarstwa rolnego</w:t>
            </w:r>
          </w:p>
        </w:tc>
        <w:tc>
          <w:tcPr>
            <w:tcW w:w="1398" w:type="dxa"/>
            <w:tcBorders>
              <w:left w:val="single" w:sz="4" w:space="0" w:color="000000" w:themeColor="text1"/>
            </w:tcBorders>
            <w:vAlign w:val="bottom"/>
          </w:tcPr>
          <w:p w14:paraId="3E1A8279" w14:textId="3ADCBD89"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39 241</w:t>
            </w:r>
          </w:p>
        </w:tc>
        <w:tc>
          <w:tcPr>
            <w:tcW w:w="1174" w:type="dxa"/>
            <w:vAlign w:val="bottom"/>
          </w:tcPr>
          <w:p w14:paraId="1A0C3E44" w14:textId="77F96453"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7,4</w:t>
            </w:r>
          </w:p>
        </w:tc>
      </w:tr>
      <w:tr w:rsidR="00610BF5" w14:paraId="79DEDAB1" w14:textId="77777777" w:rsidTr="00BC6FBB">
        <w:tc>
          <w:tcPr>
            <w:tcW w:w="2344" w:type="dxa"/>
            <w:vMerge/>
            <w:tcBorders>
              <w:top w:val="dotted" w:sz="4" w:space="0" w:color="auto"/>
              <w:bottom w:val="dotted" w:sz="4" w:space="0" w:color="auto"/>
            </w:tcBorders>
            <w:vAlign w:val="center"/>
          </w:tcPr>
          <w:p w14:paraId="196B23B1"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3E450F7F" w14:textId="27D87F65"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praca na własny rachunek</w:t>
            </w:r>
          </w:p>
        </w:tc>
        <w:tc>
          <w:tcPr>
            <w:tcW w:w="1398" w:type="dxa"/>
            <w:tcBorders>
              <w:left w:val="single" w:sz="4" w:space="0" w:color="000000" w:themeColor="text1"/>
            </w:tcBorders>
            <w:vAlign w:val="bottom"/>
          </w:tcPr>
          <w:p w14:paraId="7A705EF0" w14:textId="2258887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32 392</w:t>
            </w:r>
          </w:p>
        </w:tc>
        <w:tc>
          <w:tcPr>
            <w:tcW w:w="1174" w:type="dxa"/>
            <w:vAlign w:val="bottom"/>
          </w:tcPr>
          <w:p w14:paraId="43F71B4B" w14:textId="25FDBB6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3,5</w:t>
            </w:r>
          </w:p>
        </w:tc>
      </w:tr>
      <w:tr w:rsidR="00610BF5" w:rsidRPr="00132F7C" w14:paraId="52CA6FE3" w14:textId="77777777" w:rsidTr="00BC6FBB">
        <w:tc>
          <w:tcPr>
            <w:tcW w:w="2344" w:type="dxa"/>
            <w:vMerge/>
            <w:tcBorders>
              <w:top w:val="dotted" w:sz="4" w:space="0" w:color="auto"/>
              <w:bottom w:val="dotted" w:sz="4" w:space="0" w:color="auto"/>
            </w:tcBorders>
            <w:vAlign w:val="center"/>
          </w:tcPr>
          <w:p w14:paraId="7578BF52"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345092EB" w14:textId="7606148A" w:rsidR="00610BF5" w:rsidRPr="00BC6FBB" w:rsidRDefault="00610BF5" w:rsidP="000D082D">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emerytura, renta lub inne niezarobkowe źródło</w:t>
            </w:r>
          </w:p>
        </w:tc>
        <w:tc>
          <w:tcPr>
            <w:tcW w:w="1398" w:type="dxa"/>
            <w:tcBorders>
              <w:left w:val="single" w:sz="4" w:space="0" w:color="000000" w:themeColor="text1"/>
            </w:tcBorders>
            <w:vAlign w:val="center"/>
          </w:tcPr>
          <w:p w14:paraId="12210B07" w14:textId="6C211480"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453 355</w:t>
            </w:r>
          </w:p>
        </w:tc>
        <w:tc>
          <w:tcPr>
            <w:tcW w:w="1174" w:type="dxa"/>
            <w:vAlign w:val="center"/>
          </w:tcPr>
          <w:p w14:paraId="18B0D43A" w14:textId="79A47611"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8,7</w:t>
            </w:r>
          </w:p>
        </w:tc>
      </w:tr>
    </w:tbl>
    <w:p w14:paraId="35368D0E" w14:textId="77777777" w:rsidR="000D082D" w:rsidRDefault="000D082D" w:rsidP="000D082D">
      <w:pPr>
        <w:autoSpaceDE w:val="0"/>
        <w:autoSpaceDN w:val="0"/>
        <w:adjustRightInd w:val="0"/>
        <w:spacing w:after="0" w:line="276" w:lineRule="auto"/>
        <w:rPr>
          <w:rFonts w:cs="Arial"/>
          <w:sz w:val="20"/>
          <w:szCs w:val="20"/>
          <w:lang w:val="en-GB"/>
        </w:rPr>
      </w:pPr>
    </w:p>
    <w:p w14:paraId="67CB7C87" w14:textId="1F674D11" w:rsidR="000D082D" w:rsidRPr="00BC6FBB" w:rsidRDefault="00A85D84" w:rsidP="000D082D">
      <w:pPr>
        <w:autoSpaceDE w:val="0"/>
        <w:autoSpaceDN w:val="0"/>
        <w:adjustRightInd w:val="0"/>
        <w:spacing w:after="0" w:line="276" w:lineRule="auto"/>
        <w:rPr>
          <w:rFonts w:cs="Arial"/>
          <w:sz w:val="20"/>
          <w:szCs w:val="20"/>
        </w:rPr>
      </w:pPr>
      <w:r w:rsidRPr="00A85D84">
        <w:rPr>
          <w:rFonts w:cs="Arial"/>
          <w:b/>
          <w:sz w:val="20"/>
          <w:szCs w:val="20"/>
        </w:rPr>
        <w:t xml:space="preserve">Tabela … </w:t>
      </w:r>
      <w:r w:rsidRPr="00A85D84">
        <w:rPr>
          <w:b/>
          <w:sz w:val="20"/>
          <w:szCs w:val="20"/>
        </w:rPr>
        <w:t xml:space="preserve">Wyniki dla subpopulacji wskaźnika </w:t>
      </w:r>
      <w:r w:rsidRPr="00A85D84">
        <w:rPr>
          <w:rFonts w:cs="Arial"/>
          <w:b/>
          <w:sz w:val="20"/>
          <w:szCs w:val="20"/>
        </w:rPr>
        <w:t>Niewystarczający komfort cieplny</w:t>
      </w:r>
    </w:p>
    <w:tbl>
      <w:tblPr>
        <w:tblStyle w:val="Tabela-Siatka"/>
        <w:tblW w:w="0" w:type="auto"/>
        <w:tblBorders>
          <w:insideH w:val="dotted" w:sz="4" w:space="0" w:color="auto"/>
          <w:insideV w:val="dotted" w:sz="4" w:space="0" w:color="auto"/>
        </w:tblBorders>
        <w:tblLook w:val="04A0" w:firstRow="1" w:lastRow="0" w:firstColumn="1" w:lastColumn="0" w:noHBand="0" w:noVBand="1"/>
      </w:tblPr>
      <w:tblGrid>
        <w:gridCol w:w="2344"/>
        <w:gridCol w:w="3883"/>
        <w:gridCol w:w="1398"/>
        <w:gridCol w:w="1174"/>
      </w:tblGrid>
      <w:tr w:rsidR="00D000C6" w14:paraId="7C9AFD06" w14:textId="77777777" w:rsidTr="00D000C6">
        <w:tc>
          <w:tcPr>
            <w:tcW w:w="6227" w:type="dxa"/>
            <w:gridSpan w:val="2"/>
            <w:tcBorders>
              <w:top w:val="single" w:sz="4" w:space="0" w:color="000000" w:themeColor="text1"/>
              <w:bottom w:val="single" w:sz="4" w:space="0" w:color="000000" w:themeColor="text1"/>
              <w:right w:val="single" w:sz="4" w:space="0" w:color="000000" w:themeColor="text1"/>
            </w:tcBorders>
            <w:shd w:val="clear" w:color="auto" w:fill="FFFF00"/>
            <w:vAlign w:val="center"/>
          </w:tcPr>
          <w:p w14:paraId="04753185" w14:textId="6CD7A66B" w:rsidR="00D000C6" w:rsidRPr="0004121B" w:rsidRDefault="00A85D84" w:rsidP="000D082D">
            <w:pPr>
              <w:autoSpaceDE w:val="0"/>
              <w:autoSpaceDN w:val="0"/>
              <w:adjustRightInd w:val="0"/>
              <w:spacing w:after="0" w:line="276" w:lineRule="auto"/>
              <w:jc w:val="center"/>
              <w:rPr>
                <w:rFonts w:cs="Arial"/>
                <w:b/>
                <w:sz w:val="20"/>
                <w:szCs w:val="20"/>
                <w:lang w:val="en-GB"/>
              </w:rPr>
            </w:pPr>
            <w:r w:rsidRPr="00A85D84">
              <w:rPr>
                <w:rFonts w:cs="Arial"/>
                <w:b/>
                <w:sz w:val="20"/>
                <w:szCs w:val="20"/>
                <w:lang w:val="pl-PL"/>
              </w:rPr>
              <w:t>Niewystarczający komfort cieplny</w:t>
            </w:r>
          </w:p>
        </w:tc>
        <w:tc>
          <w:tcPr>
            <w:tcW w:w="1398" w:type="dxa"/>
            <w:tcBorders>
              <w:top w:val="single" w:sz="4" w:space="0" w:color="000000" w:themeColor="text1"/>
              <w:left w:val="single" w:sz="4" w:space="0" w:color="000000" w:themeColor="text1"/>
              <w:bottom w:val="single" w:sz="4" w:space="0" w:color="000000" w:themeColor="text1"/>
            </w:tcBorders>
            <w:shd w:val="clear" w:color="auto" w:fill="FFFF00"/>
          </w:tcPr>
          <w:p w14:paraId="1EF97311" w14:textId="1ADEC22A"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Wartość</w:t>
            </w:r>
          </w:p>
        </w:tc>
        <w:tc>
          <w:tcPr>
            <w:tcW w:w="1174" w:type="dxa"/>
            <w:tcBorders>
              <w:top w:val="single" w:sz="4" w:space="0" w:color="000000" w:themeColor="text1"/>
              <w:bottom w:val="single" w:sz="4" w:space="0" w:color="000000" w:themeColor="text1"/>
            </w:tcBorders>
            <w:shd w:val="clear" w:color="auto" w:fill="FFFF00"/>
          </w:tcPr>
          <w:p w14:paraId="62C00C0B" w14:textId="103106F8" w:rsidR="00D000C6" w:rsidRPr="000D59EA" w:rsidRDefault="00D000C6" w:rsidP="000D082D">
            <w:pPr>
              <w:autoSpaceDE w:val="0"/>
              <w:autoSpaceDN w:val="0"/>
              <w:adjustRightInd w:val="0"/>
              <w:spacing w:after="0" w:line="276" w:lineRule="auto"/>
              <w:jc w:val="center"/>
              <w:rPr>
                <w:rFonts w:cs="Arial"/>
                <w:b/>
                <w:sz w:val="20"/>
                <w:szCs w:val="20"/>
                <w:lang w:val="en-GB"/>
              </w:rPr>
            </w:pPr>
            <w:r w:rsidRPr="00D000C6">
              <w:rPr>
                <w:rFonts w:cs="Arial"/>
                <w:b/>
                <w:sz w:val="20"/>
                <w:szCs w:val="20"/>
                <w:lang w:val="pl-PL"/>
              </w:rPr>
              <w:t>Udział [%]</w:t>
            </w:r>
          </w:p>
        </w:tc>
      </w:tr>
      <w:tr w:rsidR="00610BF5" w14:paraId="058FFCC5" w14:textId="77777777" w:rsidTr="00D000C6">
        <w:tc>
          <w:tcPr>
            <w:tcW w:w="6227" w:type="dxa"/>
            <w:gridSpan w:val="2"/>
            <w:tcBorders>
              <w:top w:val="single" w:sz="4" w:space="0" w:color="000000" w:themeColor="text1"/>
              <w:bottom w:val="dotted" w:sz="4" w:space="0" w:color="auto"/>
              <w:right w:val="single" w:sz="4" w:space="0" w:color="000000" w:themeColor="text1"/>
            </w:tcBorders>
            <w:vAlign w:val="center"/>
          </w:tcPr>
          <w:p w14:paraId="60E9D91F" w14:textId="5778A5DB"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Gospodarstwa domowe</w:t>
            </w:r>
          </w:p>
        </w:tc>
        <w:tc>
          <w:tcPr>
            <w:tcW w:w="1398" w:type="dxa"/>
            <w:tcBorders>
              <w:top w:val="single" w:sz="4" w:space="0" w:color="000000" w:themeColor="text1"/>
              <w:left w:val="single" w:sz="4" w:space="0" w:color="000000" w:themeColor="text1"/>
            </w:tcBorders>
          </w:tcPr>
          <w:p w14:paraId="063B638A" w14:textId="65D3691B"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1 356 175</w:t>
            </w:r>
          </w:p>
        </w:tc>
        <w:tc>
          <w:tcPr>
            <w:tcW w:w="1174" w:type="dxa"/>
            <w:tcBorders>
              <w:top w:val="single" w:sz="4" w:space="0" w:color="000000" w:themeColor="text1"/>
            </w:tcBorders>
          </w:tcPr>
          <w:p w14:paraId="2F66607A" w14:textId="54EE7AEA"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10,2</w:t>
            </w:r>
          </w:p>
        </w:tc>
      </w:tr>
      <w:tr w:rsidR="00610BF5" w14:paraId="702ADE8C" w14:textId="77777777" w:rsidTr="00D000C6">
        <w:tc>
          <w:tcPr>
            <w:tcW w:w="6227" w:type="dxa"/>
            <w:gridSpan w:val="2"/>
            <w:tcBorders>
              <w:top w:val="dotted" w:sz="4" w:space="0" w:color="auto"/>
              <w:bottom w:val="dotted" w:sz="4" w:space="0" w:color="auto"/>
              <w:right w:val="single" w:sz="4" w:space="0" w:color="000000" w:themeColor="text1"/>
            </w:tcBorders>
            <w:vAlign w:val="center"/>
          </w:tcPr>
          <w:p w14:paraId="7FE0B9E0" w14:textId="1BB41155"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jednorodzinne</w:t>
            </w:r>
          </w:p>
        </w:tc>
        <w:tc>
          <w:tcPr>
            <w:tcW w:w="1398" w:type="dxa"/>
            <w:tcBorders>
              <w:left w:val="single" w:sz="4" w:space="0" w:color="000000" w:themeColor="text1"/>
              <w:bottom w:val="dotted" w:sz="4" w:space="0" w:color="auto"/>
            </w:tcBorders>
          </w:tcPr>
          <w:p w14:paraId="6B47BBEF" w14:textId="02B8A982" w:rsidR="00610BF5" w:rsidRPr="00FB4648"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546 474</w:t>
            </w:r>
          </w:p>
        </w:tc>
        <w:tc>
          <w:tcPr>
            <w:tcW w:w="1174" w:type="dxa"/>
            <w:tcBorders>
              <w:bottom w:val="dotted" w:sz="4" w:space="0" w:color="auto"/>
            </w:tcBorders>
          </w:tcPr>
          <w:p w14:paraId="3A01BFE1" w14:textId="61727688" w:rsidR="00610BF5" w:rsidRPr="00FB4648"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9,2</w:t>
            </w:r>
          </w:p>
        </w:tc>
      </w:tr>
      <w:tr w:rsidR="00610BF5" w14:paraId="1B96310B" w14:textId="77777777" w:rsidTr="00D000C6">
        <w:tc>
          <w:tcPr>
            <w:tcW w:w="6227" w:type="dxa"/>
            <w:gridSpan w:val="2"/>
            <w:tcBorders>
              <w:top w:val="dotted" w:sz="4" w:space="0" w:color="auto"/>
              <w:bottom w:val="single" w:sz="4" w:space="0" w:color="000000" w:themeColor="text1"/>
              <w:right w:val="single" w:sz="4" w:space="0" w:color="000000" w:themeColor="text1"/>
            </w:tcBorders>
            <w:vAlign w:val="center"/>
          </w:tcPr>
          <w:p w14:paraId="37A88976" w14:textId="1E7B48F8"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Domy wielorodzinne</w:t>
            </w:r>
          </w:p>
        </w:tc>
        <w:tc>
          <w:tcPr>
            <w:tcW w:w="1398" w:type="dxa"/>
            <w:tcBorders>
              <w:top w:val="dotted" w:sz="4" w:space="0" w:color="auto"/>
              <w:left w:val="single" w:sz="4" w:space="0" w:color="000000" w:themeColor="text1"/>
              <w:bottom w:val="single" w:sz="4" w:space="0" w:color="000000" w:themeColor="text1"/>
            </w:tcBorders>
          </w:tcPr>
          <w:p w14:paraId="57AE3D39" w14:textId="18AEC448" w:rsidR="00610BF5" w:rsidRPr="00FB4648"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809 701</w:t>
            </w:r>
          </w:p>
        </w:tc>
        <w:tc>
          <w:tcPr>
            <w:tcW w:w="1174" w:type="dxa"/>
            <w:tcBorders>
              <w:top w:val="dotted" w:sz="4" w:space="0" w:color="auto"/>
              <w:bottom w:val="single" w:sz="4" w:space="0" w:color="000000" w:themeColor="text1"/>
            </w:tcBorders>
          </w:tcPr>
          <w:p w14:paraId="526F86E0" w14:textId="759378C7" w:rsidR="00610BF5" w:rsidRPr="00FB4648"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11,0</w:t>
            </w:r>
          </w:p>
        </w:tc>
      </w:tr>
      <w:tr w:rsidR="00610BF5" w:rsidRPr="000D59EA" w14:paraId="19853710" w14:textId="77777777" w:rsidTr="00BC6FBB">
        <w:tc>
          <w:tcPr>
            <w:tcW w:w="2344" w:type="dxa"/>
            <w:vMerge w:val="restart"/>
            <w:tcBorders>
              <w:top w:val="single" w:sz="4" w:space="0" w:color="000000" w:themeColor="text1"/>
              <w:bottom w:val="dotted" w:sz="4" w:space="0" w:color="auto"/>
            </w:tcBorders>
            <w:vAlign w:val="center"/>
          </w:tcPr>
          <w:p w14:paraId="6BE43B86" w14:textId="5BF0F54A" w:rsidR="00610BF5" w:rsidRPr="00BC6FBB" w:rsidRDefault="00610BF5"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Domy jednorodzinne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2DCC7D4A" w14:textId="33388400"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tcBorders>
            <w:vAlign w:val="bottom"/>
          </w:tcPr>
          <w:p w14:paraId="18EF523B" w14:textId="5ECDF649"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168 246</w:t>
            </w:r>
          </w:p>
        </w:tc>
        <w:tc>
          <w:tcPr>
            <w:tcW w:w="1174" w:type="dxa"/>
            <w:tcBorders>
              <w:top w:val="single" w:sz="4" w:space="0" w:color="000000" w:themeColor="text1"/>
            </w:tcBorders>
            <w:vAlign w:val="bottom"/>
          </w:tcPr>
          <w:p w14:paraId="30326CD0" w14:textId="616FAA2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16,5</w:t>
            </w:r>
          </w:p>
        </w:tc>
      </w:tr>
      <w:tr w:rsidR="00610BF5" w:rsidRPr="000D59EA" w14:paraId="6DA31445" w14:textId="77777777" w:rsidTr="00BC6FBB">
        <w:tc>
          <w:tcPr>
            <w:tcW w:w="2344" w:type="dxa"/>
            <w:vMerge/>
            <w:tcBorders>
              <w:top w:val="dotted" w:sz="4" w:space="0" w:color="auto"/>
              <w:bottom w:val="dotted" w:sz="4" w:space="0" w:color="auto"/>
            </w:tcBorders>
            <w:vAlign w:val="center"/>
          </w:tcPr>
          <w:p w14:paraId="269E2FF0"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1DA1DCD6" w14:textId="41B6BBBD"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left w:val="single" w:sz="4" w:space="0" w:color="000000" w:themeColor="text1"/>
            </w:tcBorders>
            <w:vAlign w:val="bottom"/>
          </w:tcPr>
          <w:p w14:paraId="65A1BEA1" w14:textId="60D76A44"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119 599</w:t>
            </w:r>
          </w:p>
        </w:tc>
        <w:tc>
          <w:tcPr>
            <w:tcW w:w="1174" w:type="dxa"/>
            <w:vAlign w:val="bottom"/>
          </w:tcPr>
          <w:p w14:paraId="091B0BDF" w14:textId="282BE1D3"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13,8</w:t>
            </w:r>
          </w:p>
        </w:tc>
      </w:tr>
      <w:tr w:rsidR="00610BF5" w:rsidRPr="000D59EA" w14:paraId="29263884" w14:textId="77777777" w:rsidTr="00BC6FBB">
        <w:tc>
          <w:tcPr>
            <w:tcW w:w="2344" w:type="dxa"/>
            <w:vMerge/>
            <w:tcBorders>
              <w:top w:val="dotted" w:sz="4" w:space="0" w:color="auto"/>
              <w:bottom w:val="dotted" w:sz="4" w:space="0" w:color="auto"/>
            </w:tcBorders>
            <w:vAlign w:val="center"/>
          </w:tcPr>
          <w:p w14:paraId="244D85FE"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4D1A1C8B" w14:textId="1989C1AB"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vAlign w:val="bottom"/>
          </w:tcPr>
          <w:p w14:paraId="7DC5CDF8" w14:textId="3F6A455B"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162 382</w:t>
            </w:r>
          </w:p>
        </w:tc>
        <w:tc>
          <w:tcPr>
            <w:tcW w:w="1174" w:type="dxa"/>
            <w:vAlign w:val="bottom"/>
          </w:tcPr>
          <w:p w14:paraId="287B9C41" w14:textId="618E411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8,6</w:t>
            </w:r>
          </w:p>
        </w:tc>
      </w:tr>
      <w:tr w:rsidR="00610BF5" w:rsidRPr="000D59EA" w14:paraId="11D76F0F" w14:textId="77777777" w:rsidTr="00BC6FBB">
        <w:tc>
          <w:tcPr>
            <w:tcW w:w="2344" w:type="dxa"/>
            <w:vMerge/>
            <w:tcBorders>
              <w:top w:val="dotted" w:sz="4" w:space="0" w:color="auto"/>
              <w:bottom w:val="dotted" w:sz="4" w:space="0" w:color="auto"/>
            </w:tcBorders>
            <w:vAlign w:val="center"/>
          </w:tcPr>
          <w:p w14:paraId="3A52DDB2"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180FC2EB" w14:textId="6A09F81A"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vAlign w:val="bottom"/>
          </w:tcPr>
          <w:p w14:paraId="2FB56F43" w14:textId="206C9B87"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70 018</w:t>
            </w:r>
          </w:p>
        </w:tc>
        <w:tc>
          <w:tcPr>
            <w:tcW w:w="1174" w:type="dxa"/>
            <w:vAlign w:val="bottom"/>
          </w:tcPr>
          <w:p w14:paraId="5E7A3887" w14:textId="242B0331"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5,9</w:t>
            </w:r>
          </w:p>
        </w:tc>
      </w:tr>
      <w:tr w:rsidR="00610BF5" w:rsidRPr="000D59EA" w14:paraId="2CF34E85" w14:textId="77777777" w:rsidTr="00BC6FBB">
        <w:tc>
          <w:tcPr>
            <w:tcW w:w="2344" w:type="dxa"/>
            <w:vMerge/>
            <w:tcBorders>
              <w:top w:val="dotted" w:sz="4" w:space="0" w:color="auto"/>
              <w:bottom w:val="dotted" w:sz="4" w:space="0" w:color="auto"/>
            </w:tcBorders>
            <w:vAlign w:val="center"/>
          </w:tcPr>
          <w:p w14:paraId="10CC4807"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07F3E327" w14:textId="16D10AE3"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tcBorders>
            <w:vAlign w:val="bottom"/>
          </w:tcPr>
          <w:p w14:paraId="325E01E5" w14:textId="4320969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17 924</w:t>
            </w:r>
          </w:p>
        </w:tc>
        <w:tc>
          <w:tcPr>
            <w:tcW w:w="1174" w:type="dxa"/>
            <w:vAlign w:val="bottom"/>
          </w:tcPr>
          <w:p w14:paraId="5B7B86E8" w14:textId="529B65D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3,0</w:t>
            </w:r>
          </w:p>
        </w:tc>
      </w:tr>
      <w:tr w:rsidR="00610BF5" w:rsidRPr="000D59EA" w14:paraId="4F5A8EB6" w14:textId="77777777" w:rsidTr="00BC6FBB">
        <w:tc>
          <w:tcPr>
            <w:tcW w:w="2344" w:type="dxa"/>
            <w:vMerge/>
            <w:tcBorders>
              <w:top w:val="dotted" w:sz="4" w:space="0" w:color="auto"/>
              <w:bottom w:val="single" w:sz="4" w:space="0" w:color="000000"/>
            </w:tcBorders>
            <w:vAlign w:val="center"/>
          </w:tcPr>
          <w:p w14:paraId="0D180ECC"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6EFC70B6" w14:textId="1FFE56E8" w:rsidR="00610BF5" w:rsidRDefault="00610BF5"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left w:val="single" w:sz="4" w:space="0" w:color="000000" w:themeColor="text1"/>
              <w:bottom w:val="single" w:sz="4" w:space="0" w:color="000000" w:themeColor="text1"/>
            </w:tcBorders>
            <w:vAlign w:val="bottom"/>
          </w:tcPr>
          <w:p w14:paraId="657CF6B1" w14:textId="771588B7"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8 305</w:t>
            </w:r>
          </w:p>
        </w:tc>
        <w:tc>
          <w:tcPr>
            <w:tcW w:w="1174" w:type="dxa"/>
            <w:tcBorders>
              <w:bottom w:val="single" w:sz="4" w:space="0" w:color="000000" w:themeColor="text1"/>
            </w:tcBorders>
            <w:vAlign w:val="bottom"/>
          </w:tcPr>
          <w:p w14:paraId="0610D8D1" w14:textId="01354048"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2,0</w:t>
            </w:r>
          </w:p>
        </w:tc>
      </w:tr>
      <w:tr w:rsidR="00610BF5" w14:paraId="7F8210BF" w14:textId="77777777" w:rsidTr="00BC6FBB">
        <w:tc>
          <w:tcPr>
            <w:tcW w:w="2344" w:type="dxa"/>
            <w:vMerge w:val="restart"/>
            <w:tcBorders>
              <w:top w:val="single" w:sz="4" w:space="0" w:color="000000" w:themeColor="text1"/>
              <w:bottom w:val="dotted" w:sz="4" w:space="0" w:color="auto"/>
            </w:tcBorders>
            <w:vAlign w:val="center"/>
          </w:tcPr>
          <w:p w14:paraId="6021AC37" w14:textId="32A637B2" w:rsidR="00610BF5" w:rsidRPr="00BC6FBB" w:rsidRDefault="00610BF5" w:rsidP="000D082D">
            <w:pPr>
              <w:autoSpaceDE w:val="0"/>
              <w:autoSpaceDN w:val="0"/>
              <w:adjustRightInd w:val="0"/>
              <w:spacing w:after="0" w:line="276" w:lineRule="auto"/>
              <w:jc w:val="center"/>
              <w:rPr>
                <w:rFonts w:cs="Arial"/>
                <w:sz w:val="20"/>
                <w:szCs w:val="20"/>
                <w:lang w:val="pl-PL"/>
              </w:rPr>
            </w:pPr>
            <w:r w:rsidRPr="00D000C6">
              <w:rPr>
                <w:rFonts w:cs="Arial"/>
                <w:sz w:val="20"/>
                <w:szCs w:val="20"/>
                <w:lang w:val="pl-PL"/>
              </w:rPr>
              <w:t xml:space="preserve">Domy </w:t>
            </w:r>
            <w:r>
              <w:rPr>
                <w:rFonts w:cs="Arial"/>
                <w:sz w:val="20"/>
                <w:szCs w:val="20"/>
                <w:lang w:val="pl-PL"/>
              </w:rPr>
              <w:t>wielorodzinne</w:t>
            </w:r>
            <w:r w:rsidRPr="00D000C6">
              <w:rPr>
                <w:rFonts w:cs="Arial"/>
                <w:sz w:val="20"/>
                <w:szCs w:val="20"/>
                <w:lang w:val="pl-PL"/>
              </w:rPr>
              <w:t xml:space="preserve"> z uwzględnieniem roku budowy</w:t>
            </w:r>
          </w:p>
        </w:tc>
        <w:tc>
          <w:tcPr>
            <w:tcW w:w="3883" w:type="dxa"/>
            <w:tcBorders>
              <w:top w:val="single" w:sz="4" w:space="0" w:color="000000" w:themeColor="text1"/>
              <w:bottom w:val="dotted" w:sz="4" w:space="0" w:color="auto"/>
              <w:right w:val="single" w:sz="4" w:space="0" w:color="000000" w:themeColor="text1"/>
            </w:tcBorders>
            <w:vAlign w:val="bottom"/>
          </w:tcPr>
          <w:p w14:paraId="06D89A7E" w14:textId="40A4C33D"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przed 1946 r.</w:t>
            </w:r>
          </w:p>
        </w:tc>
        <w:tc>
          <w:tcPr>
            <w:tcW w:w="1398" w:type="dxa"/>
            <w:tcBorders>
              <w:top w:val="single" w:sz="4" w:space="0" w:color="000000" w:themeColor="text1"/>
              <w:left w:val="single" w:sz="4" w:space="0" w:color="000000" w:themeColor="text1"/>
              <w:bottom w:val="dotted" w:sz="4" w:space="0" w:color="auto"/>
            </w:tcBorders>
            <w:vAlign w:val="bottom"/>
          </w:tcPr>
          <w:p w14:paraId="3EAB8574" w14:textId="0FAB8D5D"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382 252</w:t>
            </w:r>
          </w:p>
        </w:tc>
        <w:tc>
          <w:tcPr>
            <w:tcW w:w="1174" w:type="dxa"/>
            <w:tcBorders>
              <w:top w:val="single" w:sz="4" w:space="0" w:color="000000" w:themeColor="text1"/>
              <w:bottom w:val="dotted" w:sz="4" w:space="0" w:color="auto"/>
            </w:tcBorders>
            <w:vAlign w:val="bottom"/>
          </w:tcPr>
          <w:p w14:paraId="552B7706" w14:textId="282C3ED9"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27,5</w:t>
            </w:r>
          </w:p>
        </w:tc>
      </w:tr>
      <w:tr w:rsidR="00610BF5" w14:paraId="4346CF80" w14:textId="77777777" w:rsidTr="00BC6FBB">
        <w:tc>
          <w:tcPr>
            <w:tcW w:w="2344" w:type="dxa"/>
            <w:vMerge/>
            <w:tcBorders>
              <w:top w:val="dotted" w:sz="4" w:space="0" w:color="auto"/>
              <w:bottom w:val="dotted" w:sz="4" w:space="0" w:color="auto"/>
            </w:tcBorders>
            <w:vAlign w:val="center"/>
          </w:tcPr>
          <w:p w14:paraId="3BC95AFC"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36B44918" w14:textId="1540B323"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1946-1960</w:t>
            </w:r>
          </w:p>
        </w:tc>
        <w:tc>
          <w:tcPr>
            <w:tcW w:w="1398" w:type="dxa"/>
            <w:tcBorders>
              <w:top w:val="dotted" w:sz="4" w:space="0" w:color="auto"/>
              <w:left w:val="single" w:sz="4" w:space="0" w:color="000000" w:themeColor="text1"/>
            </w:tcBorders>
            <w:vAlign w:val="bottom"/>
          </w:tcPr>
          <w:p w14:paraId="3D64E580" w14:textId="04FA328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119 417</w:t>
            </w:r>
          </w:p>
        </w:tc>
        <w:tc>
          <w:tcPr>
            <w:tcW w:w="1174" w:type="dxa"/>
            <w:tcBorders>
              <w:top w:val="dotted" w:sz="4" w:space="0" w:color="auto"/>
            </w:tcBorders>
            <w:vAlign w:val="bottom"/>
          </w:tcPr>
          <w:p w14:paraId="62C539C9" w14:textId="79FA57F2"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15,5</w:t>
            </w:r>
          </w:p>
        </w:tc>
      </w:tr>
      <w:tr w:rsidR="00610BF5" w14:paraId="105BD2AC" w14:textId="77777777" w:rsidTr="00BC6FBB">
        <w:tc>
          <w:tcPr>
            <w:tcW w:w="2344" w:type="dxa"/>
            <w:vMerge/>
            <w:tcBorders>
              <w:top w:val="dotted" w:sz="4" w:space="0" w:color="auto"/>
              <w:bottom w:val="dotted" w:sz="4" w:space="0" w:color="auto"/>
            </w:tcBorders>
            <w:vAlign w:val="center"/>
          </w:tcPr>
          <w:p w14:paraId="0E934888"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43523384" w14:textId="1B30C1B5"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1961-1980</w:t>
            </w:r>
          </w:p>
        </w:tc>
        <w:tc>
          <w:tcPr>
            <w:tcW w:w="1398" w:type="dxa"/>
            <w:tcBorders>
              <w:left w:val="single" w:sz="4" w:space="0" w:color="000000" w:themeColor="text1"/>
            </w:tcBorders>
            <w:vAlign w:val="bottom"/>
          </w:tcPr>
          <w:p w14:paraId="438F2BF0" w14:textId="0F7A4203"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197 555</w:t>
            </w:r>
          </w:p>
        </w:tc>
        <w:tc>
          <w:tcPr>
            <w:tcW w:w="1174" w:type="dxa"/>
            <w:vAlign w:val="bottom"/>
          </w:tcPr>
          <w:p w14:paraId="66957FFC" w14:textId="4BE9BE4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7,0</w:t>
            </w:r>
          </w:p>
        </w:tc>
      </w:tr>
      <w:tr w:rsidR="00610BF5" w14:paraId="4B5789D4" w14:textId="77777777" w:rsidTr="00BC6FBB">
        <w:tc>
          <w:tcPr>
            <w:tcW w:w="2344" w:type="dxa"/>
            <w:vMerge/>
            <w:tcBorders>
              <w:top w:val="dotted" w:sz="4" w:space="0" w:color="auto"/>
              <w:bottom w:val="dotted" w:sz="4" w:space="0" w:color="auto"/>
            </w:tcBorders>
            <w:vAlign w:val="center"/>
          </w:tcPr>
          <w:p w14:paraId="2DADC815"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7EE19EEC" w14:textId="3C866C5C"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1981-1995</w:t>
            </w:r>
          </w:p>
        </w:tc>
        <w:tc>
          <w:tcPr>
            <w:tcW w:w="1398" w:type="dxa"/>
            <w:tcBorders>
              <w:left w:val="single" w:sz="4" w:space="0" w:color="000000" w:themeColor="text1"/>
            </w:tcBorders>
            <w:vAlign w:val="bottom"/>
          </w:tcPr>
          <w:p w14:paraId="309AC703" w14:textId="2552633F"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76 204</w:t>
            </w:r>
          </w:p>
        </w:tc>
        <w:tc>
          <w:tcPr>
            <w:tcW w:w="1174" w:type="dxa"/>
            <w:vAlign w:val="bottom"/>
          </w:tcPr>
          <w:p w14:paraId="3CD17A8F" w14:textId="04B9065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5,1</w:t>
            </w:r>
          </w:p>
        </w:tc>
      </w:tr>
      <w:tr w:rsidR="00610BF5" w14:paraId="069C01F2" w14:textId="77777777" w:rsidTr="00BC6FBB">
        <w:tc>
          <w:tcPr>
            <w:tcW w:w="2344" w:type="dxa"/>
            <w:vMerge/>
            <w:tcBorders>
              <w:top w:val="dotted" w:sz="4" w:space="0" w:color="auto"/>
              <w:bottom w:val="dotted" w:sz="4" w:space="0" w:color="auto"/>
            </w:tcBorders>
            <w:vAlign w:val="center"/>
          </w:tcPr>
          <w:p w14:paraId="784F6799"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194653C4" w14:textId="3E346AE9"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w latach 1996-2006</w:t>
            </w:r>
          </w:p>
        </w:tc>
        <w:tc>
          <w:tcPr>
            <w:tcW w:w="1398" w:type="dxa"/>
            <w:tcBorders>
              <w:left w:val="single" w:sz="4" w:space="0" w:color="000000" w:themeColor="text1"/>
              <w:bottom w:val="dotted" w:sz="4" w:space="0" w:color="auto"/>
            </w:tcBorders>
            <w:vAlign w:val="bottom"/>
          </w:tcPr>
          <w:p w14:paraId="3A08515B" w14:textId="4486E04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20 002</w:t>
            </w:r>
          </w:p>
        </w:tc>
        <w:tc>
          <w:tcPr>
            <w:tcW w:w="1174" w:type="dxa"/>
            <w:tcBorders>
              <w:bottom w:val="dotted" w:sz="4" w:space="0" w:color="auto"/>
            </w:tcBorders>
            <w:vAlign w:val="bottom"/>
          </w:tcPr>
          <w:p w14:paraId="6C25F103" w14:textId="2C5CDA8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4,9</w:t>
            </w:r>
          </w:p>
        </w:tc>
      </w:tr>
      <w:tr w:rsidR="00610BF5" w14:paraId="0963E5C1" w14:textId="77777777" w:rsidTr="00BC6FBB">
        <w:tc>
          <w:tcPr>
            <w:tcW w:w="2344" w:type="dxa"/>
            <w:vMerge/>
            <w:tcBorders>
              <w:top w:val="dotted" w:sz="4" w:space="0" w:color="auto"/>
              <w:bottom w:val="single" w:sz="4" w:space="0" w:color="000000"/>
            </w:tcBorders>
            <w:vAlign w:val="center"/>
          </w:tcPr>
          <w:p w14:paraId="2A034C26"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single" w:sz="4" w:space="0" w:color="000000" w:themeColor="text1"/>
              <w:right w:val="single" w:sz="4" w:space="0" w:color="000000" w:themeColor="text1"/>
            </w:tcBorders>
            <w:vAlign w:val="bottom"/>
          </w:tcPr>
          <w:p w14:paraId="5B8D2039" w14:textId="313D1D41" w:rsidR="00610BF5" w:rsidRDefault="00610BF5" w:rsidP="0B34B54E">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po 2007 r.</w:t>
            </w:r>
          </w:p>
        </w:tc>
        <w:tc>
          <w:tcPr>
            <w:tcW w:w="1398" w:type="dxa"/>
            <w:tcBorders>
              <w:top w:val="dotted" w:sz="4" w:space="0" w:color="auto"/>
              <w:left w:val="single" w:sz="4" w:space="0" w:color="000000" w:themeColor="text1"/>
              <w:bottom w:val="single" w:sz="4" w:space="0" w:color="000000" w:themeColor="text1"/>
            </w:tcBorders>
            <w:vAlign w:val="bottom"/>
          </w:tcPr>
          <w:p w14:paraId="501A236A" w14:textId="48A8AE6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14 271</w:t>
            </w:r>
          </w:p>
        </w:tc>
        <w:tc>
          <w:tcPr>
            <w:tcW w:w="1174" w:type="dxa"/>
            <w:tcBorders>
              <w:top w:val="dotted" w:sz="4" w:space="0" w:color="auto"/>
              <w:bottom w:val="single" w:sz="4" w:space="0" w:color="000000" w:themeColor="text1"/>
            </w:tcBorders>
            <w:vAlign w:val="bottom"/>
          </w:tcPr>
          <w:p w14:paraId="15CD8B40" w14:textId="7EC3AC3F"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3,2</w:t>
            </w:r>
          </w:p>
        </w:tc>
      </w:tr>
      <w:tr w:rsidR="00610BF5" w14:paraId="72B40D35" w14:textId="77777777" w:rsidTr="00BC6FBB">
        <w:tc>
          <w:tcPr>
            <w:tcW w:w="2344" w:type="dxa"/>
            <w:vMerge w:val="restart"/>
            <w:tcBorders>
              <w:top w:val="single" w:sz="4" w:space="0" w:color="000000" w:themeColor="text1"/>
              <w:bottom w:val="dotted" w:sz="4" w:space="0" w:color="auto"/>
            </w:tcBorders>
            <w:vAlign w:val="center"/>
          </w:tcPr>
          <w:p w14:paraId="5871C5E0" w14:textId="4B26385E" w:rsidR="00610BF5" w:rsidRDefault="00610BF5" w:rsidP="000D082D">
            <w:pPr>
              <w:autoSpaceDE w:val="0"/>
              <w:autoSpaceDN w:val="0"/>
              <w:adjustRightInd w:val="0"/>
              <w:spacing w:after="0" w:line="276" w:lineRule="auto"/>
              <w:jc w:val="center"/>
              <w:rPr>
                <w:rFonts w:cs="Arial"/>
                <w:sz w:val="20"/>
                <w:szCs w:val="20"/>
                <w:lang w:val="en-GB"/>
              </w:rPr>
            </w:pPr>
            <w:r w:rsidRPr="00D000C6">
              <w:rPr>
                <w:rFonts w:cs="Arial"/>
                <w:sz w:val="20"/>
                <w:szCs w:val="20"/>
                <w:lang w:val="pl-PL"/>
              </w:rPr>
              <w:t>Główne źródło utrzymania</w:t>
            </w:r>
          </w:p>
        </w:tc>
        <w:tc>
          <w:tcPr>
            <w:tcW w:w="3883" w:type="dxa"/>
            <w:tcBorders>
              <w:top w:val="single" w:sz="4" w:space="0" w:color="000000" w:themeColor="text1"/>
              <w:bottom w:val="dotted" w:sz="4" w:space="0" w:color="auto"/>
              <w:right w:val="single" w:sz="4" w:space="0" w:color="000000" w:themeColor="text1"/>
            </w:tcBorders>
            <w:vAlign w:val="bottom"/>
          </w:tcPr>
          <w:p w14:paraId="1FC0F506" w14:textId="12282872" w:rsidR="00610BF5" w:rsidRPr="00BC6FBB" w:rsidRDefault="00610BF5" w:rsidP="000D082D">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robotniczym</w:t>
            </w:r>
          </w:p>
        </w:tc>
        <w:tc>
          <w:tcPr>
            <w:tcW w:w="1398" w:type="dxa"/>
            <w:tcBorders>
              <w:top w:val="single" w:sz="4" w:space="0" w:color="000000" w:themeColor="text1"/>
              <w:left w:val="single" w:sz="4" w:space="0" w:color="000000" w:themeColor="text1"/>
            </w:tcBorders>
            <w:vAlign w:val="center"/>
          </w:tcPr>
          <w:p w14:paraId="4884A811" w14:textId="68DCC13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394 851</w:t>
            </w:r>
          </w:p>
        </w:tc>
        <w:tc>
          <w:tcPr>
            <w:tcW w:w="1174" w:type="dxa"/>
            <w:tcBorders>
              <w:top w:val="single" w:sz="4" w:space="0" w:color="000000" w:themeColor="text1"/>
            </w:tcBorders>
            <w:vAlign w:val="bottom"/>
          </w:tcPr>
          <w:p w14:paraId="2430798E" w14:textId="75EA40E5"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12,0</w:t>
            </w:r>
          </w:p>
        </w:tc>
      </w:tr>
      <w:tr w:rsidR="00610BF5" w14:paraId="7584BAD6" w14:textId="77777777" w:rsidTr="00BC6FBB">
        <w:tc>
          <w:tcPr>
            <w:tcW w:w="2344" w:type="dxa"/>
            <w:vMerge/>
            <w:tcBorders>
              <w:top w:val="dotted" w:sz="4" w:space="0" w:color="auto"/>
              <w:bottom w:val="dotted" w:sz="4" w:space="0" w:color="auto"/>
            </w:tcBorders>
            <w:vAlign w:val="center"/>
          </w:tcPr>
          <w:p w14:paraId="006B952E"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3A46C0FB" w14:textId="1F6130C5" w:rsidR="00610BF5" w:rsidRPr="00BC6FBB" w:rsidRDefault="00610BF5" w:rsidP="00BA246E">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praca najemna na stanowisku nierobotniczym</w:t>
            </w:r>
          </w:p>
        </w:tc>
        <w:tc>
          <w:tcPr>
            <w:tcW w:w="1398" w:type="dxa"/>
            <w:tcBorders>
              <w:left w:val="single" w:sz="4" w:space="0" w:color="000000" w:themeColor="text1"/>
            </w:tcBorders>
            <w:vAlign w:val="center"/>
          </w:tcPr>
          <w:p w14:paraId="47662AA9" w14:textId="0E075D97"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231 080</w:t>
            </w:r>
          </w:p>
        </w:tc>
        <w:tc>
          <w:tcPr>
            <w:tcW w:w="1174" w:type="dxa"/>
            <w:vAlign w:val="bottom"/>
          </w:tcPr>
          <w:p w14:paraId="357F73A8" w14:textId="4708C6D1"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6,9</w:t>
            </w:r>
          </w:p>
        </w:tc>
      </w:tr>
      <w:tr w:rsidR="00610BF5" w14:paraId="69AAD66B" w14:textId="77777777" w:rsidTr="00BC6FBB">
        <w:tc>
          <w:tcPr>
            <w:tcW w:w="2344" w:type="dxa"/>
            <w:vMerge/>
            <w:tcBorders>
              <w:top w:val="dotted" w:sz="4" w:space="0" w:color="auto"/>
              <w:bottom w:val="dotted" w:sz="4" w:space="0" w:color="auto"/>
            </w:tcBorders>
            <w:vAlign w:val="center"/>
          </w:tcPr>
          <w:p w14:paraId="00009689"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319BC3BD" w14:textId="74AA995C"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użytkowanie gospodarstwa rolnego</w:t>
            </w:r>
          </w:p>
        </w:tc>
        <w:tc>
          <w:tcPr>
            <w:tcW w:w="1398" w:type="dxa"/>
            <w:tcBorders>
              <w:left w:val="single" w:sz="4" w:space="0" w:color="000000" w:themeColor="text1"/>
            </w:tcBorders>
            <w:vAlign w:val="center"/>
          </w:tcPr>
          <w:p w14:paraId="3FB0E574" w14:textId="2278C81B"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41 088</w:t>
            </w:r>
          </w:p>
        </w:tc>
        <w:tc>
          <w:tcPr>
            <w:tcW w:w="1174" w:type="dxa"/>
            <w:vAlign w:val="bottom"/>
          </w:tcPr>
          <w:p w14:paraId="005F78D3" w14:textId="0141F60B"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7,8</w:t>
            </w:r>
          </w:p>
        </w:tc>
      </w:tr>
      <w:tr w:rsidR="00610BF5" w14:paraId="50225C18" w14:textId="77777777" w:rsidTr="00BC6FBB">
        <w:tc>
          <w:tcPr>
            <w:tcW w:w="2344" w:type="dxa"/>
            <w:vMerge/>
            <w:tcBorders>
              <w:top w:val="dotted" w:sz="4" w:space="0" w:color="auto"/>
              <w:bottom w:val="dotted" w:sz="4" w:space="0" w:color="auto"/>
            </w:tcBorders>
            <w:vAlign w:val="center"/>
          </w:tcPr>
          <w:p w14:paraId="59F0C7AC"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052902EE" w14:textId="1FAE881E" w:rsidR="00610BF5" w:rsidRDefault="00610BF5" w:rsidP="000D082D">
            <w:pPr>
              <w:autoSpaceDE w:val="0"/>
              <w:autoSpaceDN w:val="0"/>
              <w:adjustRightInd w:val="0"/>
              <w:spacing w:after="0" w:line="276" w:lineRule="auto"/>
              <w:jc w:val="center"/>
              <w:rPr>
                <w:rFonts w:cs="Arial"/>
                <w:sz w:val="20"/>
                <w:szCs w:val="20"/>
                <w:lang w:val="en-GB"/>
              </w:rPr>
            </w:pPr>
            <w:r w:rsidRPr="00ED506B">
              <w:rPr>
                <w:rFonts w:cs="Arial"/>
                <w:color w:val="000000"/>
                <w:sz w:val="20"/>
                <w:szCs w:val="20"/>
                <w:lang w:val="pl-PL"/>
              </w:rPr>
              <w:t>praca na własny rachunek</w:t>
            </w:r>
          </w:p>
        </w:tc>
        <w:tc>
          <w:tcPr>
            <w:tcW w:w="1398" w:type="dxa"/>
            <w:tcBorders>
              <w:left w:val="single" w:sz="4" w:space="0" w:color="000000" w:themeColor="text1"/>
            </w:tcBorders>
            <w:vAlign w:val="center"/>
          </w:tcPr>
          <w:p w14:paraId="11621817" w14:textId="6DD9419C"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56 871</w:t>
            </w:r>
          </w:p>
        </w:tc>
        <w:tc>
          <w:tcPr>
            <w:tcW w:w="1174" w:type="dxa"/>
            <w:vAlign w:val="bottom"/>
          </w:tcPr>
          <w:p w14:paraId="7B42E399" w14:textId="4C57B315"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6,2</w:t>
            </w:r>
          </w:p>
        </w:tc>
      </w:tr>
      <w:tr w:rsidR="00610BF5" w:rsidRPr="00132F7C" w14:paraId="111F6550" w14:textId="77777777" w:rsidTr="00BC6FBB">
        <w:tc>
          <w:tcPr>
            <w:tcW w:w="2344" w:type="dxa"/>
            <w:vMerge/>
            <w:tcBorders>
              <w:top w:val="dotted" w:sz="4" w:space="0" w:color="auto"/>
              <w:bottom w:val="dotted" w:sz="4" w:space="0" w:color="auto"/>
            </w:tcBorders>
            <w:vAlign w:val="center"/>
          </w:tcPr>
          <w:p w14:paraId="5133D3C4" w14:textId="77777777" w:rsidR="00610BF5" w:rsidRDefault="00610BF5" w:rsidP="000D082D">
            <w:pPr>
              <w:autoSpaceDE w:val="0"/>
              <w:autoSpaceDN w:val="0"/>
              <w:adjustRightInd w:val="0"/>
              <w:spacing w:after="0" w:line="276" w:lineRule="auto"/>
              <w:jc w:val="center"/>
              <w:rPr>
                <w:rFonts w:cs="Arial"/>
                <w:sz w:val="20"/>
                <w:szCs w:val="20"/>
                <w:lang w:val="en-GB"/>
              </w:rPr>
            </w:pPr>
          </w:p>
        </w:tc>
        <w:tc>
          <w:tcPr>
            <w:tcW w:w="3883" w:type="dxa"/>
            <w:tcBorders>
              <w:top w:val="dotted" w:sz="4" w:space="0" w:color="auto"/>
              <w:bottom w:val="dotted" w:sz="4" w:space="0" w:color="auto"/>
              <w:right w:val="single" w:sz="4" w:space="0" w:color="000000" w:themeColor="text1"/>
            </w:tcBorders>
            <w:vAlign w:val="bottom"/>
          </w:tcPr>
          <w:p w14:paraId="4C4FF83E" w14:textId="33EE9BBE" w:rsidR="00610BF5" w:rsidRPr="00BC6FBB" w:rsidRDefault="00610BF5" w:rsidP="000D082D">
            <w:pPr>
              <w:autoSpaceDE w:val="0"/>
              <w:autoSpaceDN w:val="0"/>
              <w:adjustRightInd w:val="0"/>
              <w:spacing w:after="0" w:line="276" w:lineRule="auto"/>
              <w:jc w:val="center"/>
              <w:rPr>
                <w:rFonts w:cs="Arial"/>
                <w:sz w:val="20"/>
                <w:szCs w:val="20"/>
                <w:lang w:val="pl-PL"/>
              </w:rPr>
            </w:pPr>
            <w:r w:rsidRPr="00ED506B">
              <w:rPr>
                <w:rFonts w:cs="Arial"/>
                <w:color w:val="000000"/>
                <w:sz w:val="20"/>
                <w:szCs w:val="20"/>
                <w:lang w:val="pl-PL"/>
              </w:rPr>
              <w:t>emerytura, renta lub inne niezarobkowe źródło</w:t>
            </w:r>
          </w:p>
        </w:tc>
        <w:tc>
          <w:tcPr>
            <w:tcW w:w="1398" w:type="dxa"/>
            <w:tcBorders>
              <w:left w:val="single" w:sz="4" w:space="0" w:color="000000" w:themeColor="text1"/>
            </w:tcBorders>
            <w:vAlign w:val="center"/>
          </w:tcPr>
          <w:p w14:paraId="32F34DE6" w14:textId="65376D98"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632 284</w:t>
            </w:r>
          </w:p>
        </w:tc>
        <w:tc>
          <w:tcPr>
            <w:tcW w:w="1174" w:type="dxa"/>
            <w:vAlign w:val="center"/>
          </w:tcPr>
          <w:p w14:paraId="3B002F32" w14:textId="0F20E05E" w:rsidR="00610BF5" w:rsidRPr="00804BFA" w:rsidRDefault="00610BF5" w:rsidP="000D082D">
            <w:pPr>
              <w:autoSpaceDE w:val="0"/>
              <w:autoSpaceDN w:val="0"/>
              <w:adjustRightInd w:val="0"/>
              <w:spacing w:after="0" w:line="276" w:lineRule="auto"/>
              <w:jc w:val="center"/>
              <w:rPr>
                <w:rFonts w:cs="Arial"/>
                <w:sz w:val="20"/>
                <w:szCs w:val="20"/>
                <w:lang w:val="en-GB"/>
              </w:rPr>
            </w:pPr>
            <w:r>
              <w:rPr>
                <w:rFonts w:cs="Arial"/>
                <w:sz w:val="20"/>
                <w:szCs w:val="20"/>
              </w:rPr>
              <w:t>12,1</w:t>
            </w:r>
          </w:p>
        </w:tc>
      </w:tr>
    </w:tbl>
    <w:p w14:paraId="22D287DC" w14:textId="7326FA75" w:rsidR="000D082D" w:rsidRPr="00A85D84" w:rsidRDefault="00A85D84" w:rsidP="006D30DB">
      <w:pPr>
        <w:pStyle w:val="Nagwek1"/>
        <w:numPr>
          <w:ilvl w:val="0"/>
          <w:numId w:val="44"/>
        </w:numPr>
      </w:pPr>
      <w:bookmarkStart w:id="44" w:name="_Toc528189754"/>
      <w:r w:rsidRPr="00A85D84">
        <w:t>Załącznik II: Uzupełniająca analiza przestrzenna</w:t>
      </w:r>
      <w:bookmarkEnd w:id="44"/>
    </w:p>
    <w:p w14:paraId="4368CE2C" w14:textId="3B53E14D" w:rsidR="00A85D84" w:rsidRPr="00B17145" w:rsidRDefault="00A85D84" w:rsidP="00A85D84">
      <w:pPr>
        <w:autoSpaceDE w:val="0"/>
        <w:autoSpaceDN w:val="0"/>
        <w:adjustRightInd w:val="0"/>
        <w:spacing w:after="0" w:line="276" w:lineRule="auto"/>
        <w:rPr>
          <w:rFonts w:cs="Arial"/>
          <w:b/>
          <w:sz w:val="20"/>
          <w:szCs w:val="20"/>
        </w:rPr>
      </w:pPr>
      <w:r>
        <w:rPr>
          <w:rFonts w:cs="Arial"/>
          <w:b/>
          <w:sz w:val="20"/>
          <w:szCs w:val="20"/>
        </w:rPr>
        <w:t>Rysunek</w:t>
      </w:r>
      <w:r w:rsidRPr="00DF7EB8">
        <w:rPr>
          <w:rFonts w:cs="Arial"/>
          <w:b/>
          <w:sz w:val="20"/>
          <w:szCs w:val="20"/>
        </w:rPr>
        <w:t xml:space="preserve"> </w:t>
      </w:r>
      <w:r>
        <w:rPr>
          <w:rFonts w:cs="Arial"/>
          <w:b/>
          <w:sz w:val="20"/>
          <w:szCs w:val="20"/>
        </w:rPr>
        <w:t>1</w:t>
      </w:r>
      <w:r w:rsidRPr="00DF7EB8">
        <w:rPr>
          <w:rFonts w:cs="Arial"/>
          <w:b/>
          <w:sz w:val="20"/>
          <w:szCs w:val="20"/>
        </w:rPr>
        <w:t xml:space="preserve"> Udział </w:t>
      </w:r>
      <w:r>
        <w:rPr>
          <w:rFonts w:cs="Arial"/>
          <w:b/>
          <w:sz w:val="20"/>
          <w:szCs w:val="20"/>
        </w:rPr>
        <w:t xml:space="preserve">ubogich energetycznie </w:t>
      </w:r>
      <w:r w:rsidRPr="00DF7EB8">
        <w:rPr>
          <w:rFonts w:cs="Arial"/>
          <w:b/>
          <w:sz w:val="20"/>
          <w:szCs w:val="20"/>
        </w:rPr>
        <w:t xml:space="preserve">gospodarstw domowych [%] zidentyfikowanych przez </w:t>
      </w:r>
      <w:r>
        <w:rPr>
          <w:rFonts w:cs="Arial"/>
          <w:b/>
          <w:sz w:val="20"/>
          <w:szCs w:val="20"/>
        </w:rPr>
        <w:t>wskaźnik 10</w:t>
      </w:r>
      <w:r w:rsidRPr="00DF7EB8">
        <w:rPr>
          <w:rFonts w:cs="Arial"/>
          <w:b/>
          <w:sz w:val="20"/>
          <w:szCs w:val="20"/>
        </w:rPr>
        <w:t xml:space="preserve">% </w:t>
      </w:r>
      <w:r w:rsidRPr="00D55E8C">
        <w:rPr>
          <w:rFonts w:cs="Arial"/>
          <w:b/>
          <w:sz w:val="20"/>
          <w:szCs w:val="20"/>
        </w:rPr>
        <w:t>Udział</w:t>
      </w:r>
      <w:r>
        <w:rPr>
          <w:rFonts w:cs="Arial"/>
          <w:b/>
          <w:sz w:val="20"/>
          <w:szCs w:val="20"/>
        </w:rPr>
        <w:t>u</w:t>
      </w:r>
      <w:r w:rsidRPr="00D55E8C">
        <w:rPr>
          <w:rFonts w:cs="Arial"/>
          <w:b/>
          <w:sz w:val="20"/>
          <w:szCs w:val="20"/>
        </w:rPr>
        <w:t xml:space="preserve"> wymaganych wydatków na energię względem dochodu</w:t>
      </w:r>
      <w:r w:rsidRPr="00DF7EB8">
        <w:rPr>
          <w:rFonts w:cs="Arial"/>
          <w:b/>
          <w:sz w:val="20"/>
          <w:szCs w:val="20"/>
        </w:rPr>
        <w:t xml:space="preserve"> w 2016 r. </w:t>
      </w:r>
    </w:p>
    <w:p w14:paraId="76C0CF14" w14:textId="756BCB72" w:rsidR="000D082D" w:rsidRPr="00BC6FBB" w:rsidRDefault="000D082D" w:rsidP="000D082D">
      <w:pPr>
        <w:autoSpaceDE w:val="0"/>
        <w:autoSpaceDN w:val="0"/>
        <w:adjustRightInd w:val="0"/>
        <w:spacing w:after="0" w:line="276" w:lineRule="auto"/>
        <w:rPr>
          <w:rFonts w:cs="Arial"/>
          <w:b/>
          <w:sz w:val="20"/>
          <w:szCs w:val="20"/>
        </w:rPr>
      </w:pPr>
    </w:p>
    <w:p w14:paraId="5DD5202F" w14:textId="77777777" w:rsidR="000D082D" w:rsidRDefault="000D082D" w:rsidP="00444371">
      <w:pPr>
        <w:autoSpaceDE w:val="0"/>
        <w:autoSpaceDN w:val="0"/>
        <w:adjustRightInd w:val="0"/>
        <w:spacing w:after="0" w:line="276" w:lineRule="auto"/>
        <w:jc w:val="center"/>
        <w:rPr>
          <w:rFonts w:cs="Arial"/>
          <w:b/>
          <w:sz w:val="20"/>
          <w:szCs w:val="20"/>
          <w:lang w:val="en-GB"/>
        </w:rPr>
      </w:pPr>
      <w:r>
        <w:rPr>
          <w:rFonts w:cs="Arial"/>
          <w:b/>
          <w:noProof/>
          <w:sz w:val="20"/>
          <w:szCs w:val="20"/>
          <w:lang w:eastAsia="pl-PL"/>
        </w:rPr>
        <w:drawing>
          <wp:inline distT="0" distB="0" distL="0" distR="0" wp14:anchorId="544096E5" wp14:editId="70D587E2">
            <wp:extent cx="4705200" cy="3758400"/>
            <wp:effectExtent l="0" t="0" r="635" b="0"/>
            <wp:docPr id="23" name="Obraz 23" descr="C:\Users\Jakub SOKOLOWSKI\Dropbox\Technical support for defining measuring and monitoring energy poverty in Poland\Wskazniki\Mapy\10_pr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akub SOKOLOWSKI\Dropbox\Technical support for defining measuring and monitoring energy poverty in Poland\Wskazniki\Mapy\10_proc.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05200" cy="3758400"/>
                    </a:xfrm>
                    <a:prstGeom prst="rect">
                      <a:avLst/>
                    </a:prstGeom>
                    <a:noFill/>
                    <a:ln>
                      <a:noFill/>
                    </a:ln>
                  </pic:spPr>
                </pic:pic>
              </a:graphicData>
            </a:graphic>
          </wp:inline>
        </w:drawing>
      </w:r>
    </w:p>
    <w:p w14:paraId="3D36F05C" w14:textId="77777777" w:rsidR="000D082D" w:rsidRDefault="000D082D" w:rsidP="00D9053C">
      <w:pPr>
        <w:pStyle w:val="Normal1"/>
        <w:rPr>
          <w:highlight w:val="yellow"/>
        </w:rPr>
      </w:pPr>
    </w:p>
    <w:p w14:paraId="2A5C2ABD" w14:textId="7F9D7222" w:rsidR="00A85D84" w:rsidRPr="00B17145" w:rsidRDefault="00A85D84" w:rsidP="00A85D84">
      <w:pPr>
        <w:autoSpaceDE w:val="0"/>
        <w:autoSpaceDN w:val="0"/>
        <w:adjustRightInd w:val="0"/>
        <w:spacing w:after="0" w:line="276" w:lineRule="auto"/>
        <w:rPr>
          <w:rFonts w:cs="Arial"/>
          <w:b/>
          <w:sz w:val="20"/>
          <w:szCs w:val="20"/>
        </w:rPr>
      </w:pPr>
      <w:r>
        <w:rPr>
          <w:rFonts w:cs="Arial"/>
          <w:b/>
          <w:sz w:val="20"/>
          <w:szCs w:val="20"/>
        </w:rPr>
        <w:t>Rysunek</w:t>
      </w:r>
      <w:r w:rsidRPr="00DF7EB8">
        <w:rPr>
          <w:rFonts w:cs="Arial"/>
          <w:b/>
          <w:sz w:val="20"/>
          <w:szCs w:val="20"/>
        </w:rPr>
        <w:t xml:space="preserve"> </w:t>
      </w:r>
      <w:r>
        <w:rPr>
          <w:rFonts w:cs="Arial"/>
          <w:b/>
          <w:sz w:val="20"/>
          <w:szCs w:val="20"/>
        </w:rPr>
        <w:t>2</w:t>
      </w:r>
      <w:r w:rsidRPr="00DF7EB8">
        <w:rPr>
          <w:rFonts w:cs="Arial"/>
          <w:b/>
          <w:sz w:val="20"/>
          <w:szCs w:val="20"/>
        </w:rPr>
        <w:t xml:space="preserve"> Udział </w:t>
      </w:r>
      <w:r>
        <w:rPr>
          <w:rFonts w:cs="Arial"/>
          <w:b/>
          <w:sz w:val="20"/>
          <w:szCs w:val="20"/>
        </w:rPr>
        <w:t xml:space="preserve">ubogich energetycznie </w:t>
      </w:r>
      <w:r w:rsidRPr="00DF7EB8">
        <w:rPr>
          <w:rFonts w:cs="Arial"/>
          <w:b/>
          <w:sz w:val="20"/>
          <w:szCs w:val="20"/>
        </w:rPr>
        <w:t xml:space="preserve">gospodarstw domowych [%] zidentyfikowanych przez </w:t>
      </w:r>
      <w:r>
        <w:rPr>
          <w:rFonts w:cs="Arial"/>
          <w:b/>
          <w:sz w:val="20"/>
          <w:szCs w:val="20"/>
        </w:rPr>
        <w:t xml:space="preserve">wskaźnik </w:t>
      </w:r>
      <w:r w:rsidRPr="00A85D84">
        <w:rPr>
          <w:rFonts w:cs="Arial"/>
          <w:b/>
          <w:sz w:val="20"/>
          <w:szCs w:val="20"/>
        </w:rPr>
        <w:t>Ukryte ubóstwo energetyczne</w:t>
      </w:r>
      <w:r w:rsidRPr="00DF7EB8">
        <w:rPr>
          <w:rFonts w:cs="Arial"/>
          <w:b/>
          <w:sz w:val="20"/>
          <w:szCs w:val="20"/>
        </w:rPr>
        <w:t xml:space="preserve"> w 2016 r. </w:t>
      </w:r>
    </w:p>
    <w:p w14:paraId="01EFC242" w14:textId="6F264619" w:rsidR="000D082D" w:rsidRPr="00BC6FBB" w:rsidRDefault="000D082D" w:rsidP="000D082D">
      <w:pPr>
        <w:autoSpaceDE w:val="0"/>
        <w:autoSpaceDN w:val="0"/>
        <w:adjustRightInd w:val="0"/>
        <w:spacing w:after="0" w:line="276" w:lineRule="auto"/>
        <w:rPr>
          <w:rFonts w:cs="Arial"/>
          <w:b/>
          <w:sz w:val="20"/>
          <w:szCs w:val="20"/>
        </w:rPr>
      </w:pPr>
    </w:p>
    <w:p w14:paraId="65FC217C" w14:textId="77777777" w:rsidR="000D082D" w:rsidRDefault="000D082D" w:rsidP="00444371">
      <w:pPr>
        <w:autoSpaceDE w:val="0"/>
        <w:autoSpaceDN w:val="0"/>
        <w:adjustRightInd w:val="0"/>
        <w:spacing w:after="0" w:line="276" w:lineRule="auto"/>
        <w:jc w:val="center"/>
        <w:rPr>
          <w:rFonts w:cs="Arial"/>
          <w:b/>
          <w:sz w:val="20"/>
          <w:szCs w:val="20"/>
          <w:lang w:val="en-GB"/>
        </w:rPr>
      </w:pPr>
      <w:r>
        <w:rPr>
          <w:rFonts w:cs="Arial"/>
          <w:b/>
          <w:noProof/>
          <w:sz w:val="20"/>
          <w:szCs w:val="20"/>
          <w:lang w:eastAsia="pl-PL"/>
        </w:rPr>
        <w:drawing>
          <wp:inline distT="0" distB="0" distL="0" distR="0" wp14:anchorId="149D8524" wp14:editId="65B88341">
            <wp:extent cx="4518000" cy="3783600"/>
            <wp:effectExtent l="0" t="0" r="0" b="7620"/>
            <wp:docPr id="24" name="Obraz 24" descr="C:\Users\Jakub SOKOLOWSKI\Dropbox\Technical support for defining measuring and monitoring energy poverty in Poland\Wskazniki\Mapy\h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akub SOKOLOWSKI\Dropbox\Technical support for defining measuring and monitoring energy poverty in Poland\Wskazniki\Mapy\hep.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18000" cy="3783600"/>
                    </a:xfrm>
                    <a:prstGeom prst="rect">
                      <a:avLst/>
                    </a:prstGeom>
                    <a:noFill/>
                    <a:ln>
                      <a:noFill/>
                    </a:ln>
                  </pic:spPr>
                </pic:pic>
              </a:graphicData>
            </a:graphic>
          </wp:inline>
        </w:drawing>
      </w:r>
    </w:p>
    <w:p w14:paraId="2F64497F" w14:textId="03500F98" w:rsidR="000D082D" w:rsidRPr="00BC6FBB" w:rsidRDefault="00A85D84" w:rsidP="000D082D">
      <w:pPr>
        <w:autoSpaceDE w:val="0"/>
        <w:autoSpaceDN w:val="0"/>
        <w:adjustRightInd w:val="0"/>
        <w:spacing w:after="0" w:line="276" w:lineRule="auto"/>
        <w:rPr>
          <w:rFonts w:cs="Arial"/>
          <w:b/>
          <w:sz w:val="20"/>
          <w:szCs w:val="20"/>
        </w:rPr>
      </w:pPr>
      <w:r>
        <w:rPr>
          <w:rFonts w:cs="Arial"/>
          <w:b/>
          <w:sz w:val="20"/>
          <w:szCs w:val="20"/>
        </w:rPr>
        <w:t>Rysunek</w:t>
      </w:r>
      <w:r w:rsidRPr="00DF7EB8">
        <w:rPr>
          <w:rFonts w:cs="Arial"/>
          <w:b/>
          <w:sz w:val="20"/>
          <w:szCs w:val="20"/>
        </w:rPr>
        <w:t xml:space="preserve"> </w:t>
      </w:r>
      <w:r>
        <w:rPr>
          <w:rFonts w:cs="Arial"/>
          <w:b/>
          <w:sz w:val="20"/>
          <w:szCs w:val="20"/>
        </w:rPr>
        <w:t>3</w:t>
      </w:r>
      <w:r w:rsidRPr="00DF7EB8">
        <w:rPr>
          <w:rFonts w:cs="Arial"/>
          <w:b/>
          <w:sz w:val="20"/>
          <w:szCs w:val="20"/>
        </w:rPr>
        <w:t xml:space="preserve"> Udział </w:t>
      </w:r>
      <w:r>
        <w:rPr>
          <w:rFonts w:cs="Arial"/>
          <w:b/>
          <w:sz w:val="20"/>
          <w:szCs w:val="20"/>
        </w:rPr>
        <w:t xml:space="preserve">ubogich energetycznie </w:t>
      </w:r>
      <w:r w:rsidRPr="00DF7EB8">
        <w:rPr>
          <w:rFonts w:cs="Arial"/>
          <w:b/>
          <w:sz w:val="20"/>
          <w:szCs w:val="20"/>
        </w:rPr>
        <w:t xml:space="preserve">gospodarstw domowych [%] zidentyfikowanych przez </w:t>
      </w:r>
      <w:r>
        <w:rPr>
          <w:rFonts w:cs="Arial"/>
          <w:b/>
          <w:sz w:val="20"/>
          <w:szCs w:val="20"/>
        </w:rPr>
        <w:t xml:space="preserve">wskaźnik </w:t>
      </w:r>
      <w:r w:rsidRPr="00A85D84">
        <w:rPr>
          <w:rFonts w:cs="Arial"/>
          <w:b/>
          <w:sz w:val="20"/>
          <w:szCs w:val="20"/>
        </w:rPr>
        <w:t>Zdolność do terminowego opłacania rachunków</w:t>
      </w:r>
      <w:r w:rsidRPr="00DF7EB8">
        <w:rPr>
          <w:rFonts w:cs="Arial"/>
          <w:b/>
          <w:sz w:val="20"/>
          <w:szCs w:val="20"/>
        </w:rPr>
        <w:t xml:space="preserve"> w 2016 r.</w:t>
      </w:r>
    </w:p>
    <w:p w14:paraId="5995B68E" w14:textId="46BF8115" w:rsidR="000D082D" w:rsidRPr="00D9053C" w:rsidRDefault="008A1D5E" w:rsidP="00444371">
      <w:pPr>
        <w:pStyle w:val="Normal1"/>
        <w:jc w:val="center"/>
        <w:rPr>
          <w:highlight w:val="yellow"/>
          <w:lang w:val="en-GB"/>
        </w:rPr>
      </w:pPr>
      <w:r>
        <w:rPr>
          <w:noProof/>
          <w:lang w:eastAsia="pl-PL"/>
        </w:rPr>
        <w:drawing>
          <wp:inline distT="0" distB="0" distL="0" distR="0" wp14:anchorId="04AC2BC1" wp14:editId="72904FF1">
            <wp:extent cx="4676400" cy="3805200"/>
            <wp:effectExtent l="0" t="0" r="0" b="5080"/>
            <wp:docPr id="21" name="Obraz 21" descr="C:\Users\Jakub SOKOLOWSKI\Dropbox\Technical support for defining measuring and monitoring energy poverty in Poland\Wskazniki\Mapy\bil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kub SOKOLOWSKI\Dropbox\Technical support for defining measuring and monitoring energy poverty in Poland\Wskazniki\Mapy\bills.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76400" cy="3805200"/>
                    </a:xfrm>
                    <a:prstGeom prst="rect">
                      <a:avLst/>
                    </a:prstGeom>
                    <a:noFill/>
                    <a:ln>
                      <a:noFill/>
                    </a:ln>
                  </pic:spPr>
                </pic:pic>
              </a:graphicData>
            </a:graphic>
          </wp:inline>
        </w:drawing>
      </w:r>
    </w:p>
    <w:p w14:paraId="073482D8" w14:textId="41B59113" w:rsidR="003C5CD3" w:rsidRPr="005457BE" w:rsidRDefault="005457BE" w:rsidP="006D30DB">
      <w:pPr>
        <w:pStyle w:val="Nagwek1"/>
        <w:numPr>
          <w:ilvl w:val="0"/>
          <w:numId w:val="44"/>
        </w:numPr>
      </w:pPr>
      <w:bookmarkStart w:id="45" w:name="_Toc528189755"/>
      <w:r w:rsidRPr="005457BE">
        <w:t>Bibliografia</w:t>
      </w:r>
      <w:bookmarkEnd w:id="45"/>
    </w:p>
    <w:p w14:paraId="49977E3C" w14:textId="77777777" w:rsidR="005457BE" w:rsidRPr="005457BE" w:rsidRDefault="005457BE" w:rsidP="005457BE">
      <w:pPr>
        <w:spacing w:line="276" w:lineRule="auto"/>
        <w:ind w:firstLine="709"/>
        <w:jc w:val="both"/>
        <w:rPr>
          <w:rFonts w:cs="Arial"/>
          <w:sz w:val="20"/>
          <w:szCs w:val="20"/>
          <w:lang w:val="en-GB"/>
        </w:rPr>
      </w:pPr>
      <w:r w:rsidRPr="005457BE">
        <w:rPr>
          <w:rFonts w:cs="Arial"/>
          <w:sz w:val="20"/>
          <w:szCs w:val="20"/>
          <w:lang w:val="en-GB"/>
        </w:rPr>
        <w:t xml:space="preserve">Boardman B. (1991). </w:t>
      </w:r>
      <w:r w:rsidRPr="005457BE">
        <w:rPr>
          <w:rFonts w:cs="Arial"/>
          <w:i/>
          <w:sz w:val="20"/>
          <w:szCs w:val="20"/>
          <w:lang w:val="en-GB"/>
        </w:rPr>
        <w:t>Fuel poverty: from cold homes to affordable warmth</w:t>
      </w:r>
      <w:r w:rsidRPr="005457BE">
        <w:rPr>
          <w:rFonts w:cs="Arial"/>
          <w:sz w:val="20"/>
          <w:szCs w:val="20"/>
          <w:lang w:val="en-GB"/>
        </w:rPr>
        <w:t>. Belhaven Press.</w:t>
      </w:r>
    </w:p>
    <w:p w14:paraId="53D2AF3E" w14:textId="77777777" w:rsidR="005457BE" w:rsidRPr="005457BE" w:rsidRDefault="005457BE" w:rsidP="005457BE">
      <w:pPr>
        <w:spacing w:line="276" w:lineRule="auto"/>
        <w:ind w:firstLine="709"/>
        <w:jc w:val="both"/>
        <w:rPr>
          <w:rFonts w:cs="Arial"/>
          <w:sz w:val="20"/>
          <w:szCs w:val="20"/>
          <w:lang w:val="en-US"/>
        </w:rPr>
      </w:pPr>
      <w:r w:rsidRPr="005457BE">
        <w:rPr>
          <w:rFonts w:cs="Arial"/>
          <w:sz w:val="20"/>
          <w:szCs w:val="20"/>
          <w:lang w:val="en-US"/>
        </w:rPr>
        <w:t xml:space="preserve">Boardman B. (2010). </w:t>
      </w:r>
      <w:r w:rsidRPr="005457BE">
        <w:rPr>
          <w:rFonts w:cs="Arial"/>
          <w:i/>
          <w:iCs/>
          <w:sz w:val="20"/>
          <w:szCs w:val="20"/>
          <w:lang w:val="en-US"/>
        </w:rPr>
        <w:t>Fixing Fuel Poverty: Challenges and Solutions</w:t>
      </w:r>
      <w:r w:rsidRPr="005457BE">
        <w:rPr>
          <w:rFonts w:cs="Arial"/>
          <w:sz w:val="20"/>
          <w:szCs w:val="20"/>
          <w:lang w:val="en-US"/>
        </w:rPr>
        <w:t>. London: Earthscan.</w:t>
      </w:r>
    </w:p>
    <w:p w14:paraId="5499C97F" w14:textId="77777777" w:rsidR="005457BE" w:rsidRPr="005457BE" w:rsidRDefault="005457BE" w:rsidP="005457BE">
      <w:pPr>
        <w:spacing w:line="276" w:lineRule="auto"/>
        <w:ind w:firstLine="709"/>
        <w:jc w:val="both"/>
        <w:rPr>
          <w:rFonts w:cs="Arial"/>
          <w:sz w:val="20"/>
          <w:szCs w:val="20"/>
          <w:lang w:val="en-GB"/>
        </w:rPr>
      </w:pPr>
      <w:r w:rsidRPr="005457BE">
        <w:rPr>
          <w:rFonts w:cs="Arial"/>
          <w:sz w:val="20"/>
          <w:szCs w:val="20"/>
          <w:lang w:val="en-GB"/>
        </w:rPr>
        <w:t xml:space="preserve">Bouzarovski S. (2018). Energy Poverty Policies at the EU Level. In: </w:t>
      </w:r>
      <w:r w:rsidRPr="005457BE">
        <w:rPr>
          <w:rFonts w:cs="Arial"/>
          <w:i/>
          <w:sz w:val="20"/>
          <w:szCs w:val="20"/>
          <w:lang w:val="en-GB"/>
        </w:rPr>
        <w:t>Energy Poverty</w:t>
      </w:r>
      <w:r w:rsidRPr="005457BE">
        <w:rPr>
          <w:rFonts w:cs="Arial"/>
          <w:sz w:val="20"/>
          <w:szCs w:val="20"/>
          <w:lang w:val="en-GB"/>
        </w:rPr>
        <w:t>. Palgrave Macmillan, Cham.</w:t>
      </w:r>
    </w:p>
    <w:p w14:paraId="2AD3DD29" w14:textId="77777777" w:rsidR="005457BE" w:rsidRDefault="005457BE" w:rsidP="005457BE">
      <w:pPr>
        <w:spacing w:line="276" w:lineRule="auto"/>
        <w:ind w:firstLine="709"/>
        <w:jc w:val="both"/>
        <w:rPr>
          <w:rFonts w:cs="Arial"/>
          <w:sz w:val="20"/>
          <w:szCs w:val="20"/>
          <w:lang w:val="en-GB"/>
        </w:rPr>
      </w:pPr>
      <w:r w:rsidRPr="005457BE">
        <w:rPr>
          <w:rFonts w:cs="Arial"/>
          <w:sz w:val="20"/>
          <w:szCs w:val="20"/>
          <w:lang w:val="en-GB"/>
        </w:rPr>
        <w:t xml:space="preserve">Bouzarovski S., Petrova S. (2015). A global perspective on domestic energy deprivation: Overcoming the energy poverty–fuel poverty binary. </w:t>
      </w:r>
      <w:r w:rsidRPr="005457BE">
        <w:rPr>
          <w:rFonts w:cs="Arial"/>
          <w:i/>
          <w:sz w:val="20"/>
          <w:szCs w:val="20"/>
          <w:lang w:val="en-GB"/>
        </w:rPr>
        <w:t>Energy Research &amp; Social Science 10</w:t>
      </w:r>
      <w:r w:rsidRPr="005457BE">
        <w:rPr>
          <w:rFonts w:cs="Arial"/>
          <w:sz w:val="20"/>
          <w:szCs w:val="20"/>
          <w:lang w:val="en-GB"/>
        </w:rPr>
        <w:t>, 31-40.</w:t>
      </w:r>
    </w:p>
    <w:p w14:paraId="38995F10" w14:textId="5F239B49" w:rsidR="00CD1194" w:rsidRPr="005457BE" w:rsidRDefault="00CD1194" w:rsidP="005457BE">
      <w:pPr>
        <w:spacing w:line="276" w:lineRule="auto"/>
        <w:ind w:firstLine="709"/>
        <w:jc w:val="both"/>
        <w:rPr>
          <w:rFonts w:cs="Arial"/>
          <w:sz w:val="20"/>
          <w:szCs w:val="20"/>
          <w:lang w:val="en-GB"/>
        </w:rPr>
      </w:pPr>
      <w:r w:rsidRPr="00CD1194">
        <w:rPr>
          <w:rFonts w:cs="Arial"/>
          <w:sz w:val="20"/>
          <w:szCs w:val="20"/>
          <w:lang w:val="en-GB"/>
        </w:rPr>
        <w:t>Bouzarovski S., Tirado Herrero (2017) Geographies of injustice: the socio-spatial determinants of energy poverty in Poland, the Czech Republic and Hungary. Available at: https://www.tandfonline.com/doi/full/10.1080/14631377.2016.1242257 [</w:t>
      </w:r>
      <w:r>
        <w:rPr>
          <w:rFonts w:cs="Arial"/>
          <w:sz w:val="20"/>
          <w:szCs w:val="20"/>
          <w:lang w:val="en-GB"/>
        </w:rPr>
        <w:t>Data dostępu 15 listopada</w:t>
      </w:r>
      <w:r w:rsidRPr="00CD1194">
        <w:rPr>
          <w:rFonts w:cs="Arial"/>
          <w:sz w:val="20"/>
          <w:szCs w:val="20"/>
          <w:lang w:val="en-GB"/>
        </w:rPr>
        <w:t xml:space="preserve"> 2018]</w:t>
      </w:r>
    </w:p>
    <w:p w14:paraId="1CD84770" w14:textId="6F98296D" w:rsidR="005457BE" w:rsidRPr="005457BE" w:rsidRDefault="005457BE" w:rsidP="005457BE">
      <w:pPr>
        <w:spacing w:line="276" w:lineRule="auto"/>
        <w:ind w:firstLine="709"/>
        <w:jc w:val="both"/>
        <w:rPr>
          <w:rFonts w:cs="Arial"/>
          <w:bCs/>
          <w:sz w:val="20"/>
          <w:szCs w:val="20"/>
          <w:lang w:val="en-GB"/>
        </w:rPr>
      </w:pPr>
      <w:r w:rsidRPr="005457BE">
        <w:rPr>
          <w:rFonts w:cs="Arial"/>
          <w:sz w:val="20"/>
          <w:szCs w:val="20"/>
          <w:lang w:val="en-GB"/>
        </w:rPr>
        <w:t xml:space="preserve"> European Commission. (2017). Proposal for a directive of the European Parliament and of the Council on common rules for the internal market in electricity (recast). </w:t>
      </w:r>
      <w:hyperlink r:id="rId41" w:history="1">
        <w:r w:rsidRPr="00BC6FBB">
          <w:rPr>
            <w:rStyle w:val="Hipercze"/>
            <w:rFonts w:cs="Arial"/>
            <w:sz w:val="20"/>
            <w:szCs w:val="20"/>
          </w:rPr>
          <w:t>http://eur-lex.europa.eu/legal-content/EN/TXT/?uri=CELEX%3A52016PC0864R%2801%29</w:t>
        </w:r>
      </w:hyperlink>
      <w:r w:rsidRPr="00BC6FBB">
        <w:rPr>
          <w:rFonts w:cs="Arial"/>
          <w:sz w:val="20"/>
          <w:szCs w:val="20"/>
        </w:rPr>
        <w:t xml:space="preserve">. </w:t>
      </w:r>
      <w:r w:rsidRPr="005457BE">
        <w:rPr>
          <w:rFonts w:cs="Arial"/>
          <w:bCs/>
          <w:sz w:val="20"/>
          <w:szCs w:val="20"/>
          <w:lang w:val="en-GB"/>
        </w:rPr>
        <w:t>[</w:t>
      </w:r>
      <w:r w:rsidR="00CD1194">
        <w:rPr>
          <w:rFonts w:cs="Arial"/>
          <w:bCs/>
          <w:sz w:val="20"/>
          <w:szCs w:val="20"/>
          <w:lang w:val="en-GB"/>
        </w:rPr>
        <w:t xml:space="preserve">Data dostępu: 9 września </w:t>
      </w:r>
      <w:r w:rsidRPr="005457BE">
        <w:rPr>
          <w:rFonts w:cs="Arial"/>
          <w:bCs/>
          <w:sz w:val="20"/>
          <w:szCs w:val="20"/>
          <w:lang w:val="en-GB"/>
        </w:rPr>
        <w:t>2018]</w:t>
      </w:r>
    </w:p>
    <w:p w14:paraId="3039497D" w14:textId="77777777" w:rsidR="005457BE" w:rsidRPr="005457BE" w:rsidRDefault="005457BE" w:rsidP="005457BE">
      <w:pPr>
        <w:spacing w:line="276" w:lineRule="auto"/>
        <w:ind w:firstLine="709"/>
        <w:jc w:val="both"/>
        <w:rPr>
          <w:rFonts w:cs="Arial"/>
          <w:sz w:val="20"/>
          <w:szCs w:val="20"/>
          <w:lang w:val="en-GB"/>
        </w:rPr>
      </w:pPr>
      <w:r w:rsidRPr="005457BE">
        <w:rPr>
          <w:rFonts w:cs="Arial"/>
          <w:sz w:val="20"/>
          <w:szCs w:val="20"/>
          <w:lang w:val="en-GB"/>
        </w:rPr>
        <w:t>GOV.UK (2018). Fuel poverty statistics. Retrieved from https://www.gov.uk/government/collections/fuel-poverty-statistics</w:t>
      </w:r>
    </w:p>
    <w:p w14:paraId="20C503EC" w14:textId="77777777" w:rsidR="005457BE" w:rsidRPr="005457BE" w:rsidRDefault="005457BE" w:rsidP="005457BE">
      <w:pPr>
        <w:spacing w:line="276" w:lineRule="auto"/>
        <w:ind w:firstLine="709"/>
        <w:jc w:val="both"/>
        <w:rPr>
          <w:rFonts w:cs="Arial"/>
          <w:bCs/>
          <w:sz w:val="20"/>
          <w:szCs w:val="20"/>
          <w:lang w:val="en-GB"/>
        </w:rPr>
      </w:pPr>
      <w:r>
        <w:rPr>
          <w:rFonts w:cs="Arial"/>
          <w:bCs/>
          <w:sz w:val="20"/>
          <w:szCs w:val="20"/>
          <w:lang w:val="en-GB"/>
        </w:rPr>
        <w:t>GUS</w:t>
      </w:r>
      <w:r w:rsidRPr="005457BE">
        <w:rPr>
          <w:rFonts w:cs="Arial"/>
          <w:bCs/>
          <w:sz w:val="20"/>
          <w:szCs w:val="20"/>
          <w:lang w:val="en-GB"/>
        </w:rPr>
        <w:t xml:space="preserve"> (2017). Regiony Polski 2017. Available at </w:t>
      </w:r>
      <w:hyperlink r:id="rId42" w:history="1">
        <w:r w:rsidRPr="005457BE">
          <w:rPr>
            <w:rStyle w:val="Hipercze"/>
            <w:rFonts w:cs="Arial"/>
            <w:bCs/>
            <w:sz w:val="20"/>
            <w:szCs w:val="20"/>
            <w:lang w:val="en-GB"/>
          </w:rPr>
          <w:t>https://stat.gov.pl/obszary-tematyczne/inne-opracowania/miasta-wojewodztwa/regiony-polski-2017,6,11.html</w:t>
        </w:r>
      </w:hyperlink>
      <w:r w:rsidRPr="005457BE">
        <w:rPr>
          <w:rFonts w:cs="Arial"/>
          <w:bCs/>
          <w:sz w:val="20"/>
          <w:szCs w:val="20"/>
          <w:lang w:val="en-GB"/>
        </w:rPr>
        <w:t xml:space="preserve"> [Accessed 15</w:t>
      </w:r>
      <w:r w:rsidRPr="005457BE">
        <w:rPr>
          <w:rFonts w:cs="Arial"/>
          <w:bCs/>
          <w:sz w:val="20"/>
          <w:szCs w:val="20"/>
          <w:vertAlign w:val="superscript"/>
          <w:lang w:val="en-GB"/>
        </w:rPr>
        <w:t>th</w:t>
      </w:r>
      <w:r w:rsidRPr="005457BE">
        <w:rPr>
          <w:rFonts w:cs="Arial"/>
          <w:bCs/>
          <w:sz w:val="20"/>
          <w:szCs w:val="20"/>
          <w:lang w:val="en-GB"/>
        </w:rPr>
        <w:t xml:space="preserve"> of October 2018]</w:t>
      </w:r>
    </w:p>
    <w:p w14:paraId="41344176" w14:textId="77777777" w:rsidR="005457BE" w:rsidRPr="005457BE" w:rsidRDefault="005457BE" w:rsidP="005457BE">
      <w:pPr>
        <w:spacing w:line="276" w:lineRule="auto"/>
        <w:ind w:firstLine="709"/>
        <w:jc w:val="both"/>
        <w:rPr>
          <w:rFonts w:cs="Arial"/>
          <w:bCs/>
          <w:sz w:val="20"/>
          <w:szCs w:val="20"/>
          <w:lang w:val="en-GB"/>
        </w:rPr>
      </w:pPr>
      <w:r w:rsidRPr="00BC6FBB">
        <w:rPr>
          <w:rFonts w:cs="Arial"/>
          <w:bCs/>
          <w:sz w:val="20"/>
          <w:szCs w:val="20"/>
        </w:rPr>
        <w:t xml:space="preserve">GUS (2017). Zużycie energii w gospodarstwach domowych w 2015 r. Available at: </w:t>
      </w:r>
      <w:hyperlink r:id="rId43" w:history="1">
        <w:r w:rsidRPr="00BC6FBB">
          <w:rPr>
            <w:rStyle w:val="Hipercze"/>
            <w:rFonts w:cs="Arial"/>
            <w:bCs/>
            <w:sz w:val="20"/>
            <w:szCs w:val="20"/>
          </w:rPr>
          <w:t>https://stat.gov.pl/files/gfx/portalinformacyjny/pl/defaultaktualnosci/5485/2/3/1/zuzycie_energii_w_gospodarstwach_domowych_w_2015_r..pdf</w:t>
        </w:r>
      </w:hyperlink>
      <w:r w:rsidRPr="00BC6FBB">
        <w:rPr>
          <w:rFonts w:cs="Arial"/>
          <w:bCs/>
          <w:sz w:val="20"/>
          <w:szCs w:val="20"/>
        </w:rPr>
        <w:t xml:space="preserve">.  </w:t>
      </w:r>
      <w:r w:rsidRPr="005457BE">
        <w:rPr>
          <w:rFonts w:cs="Arial"/>
          <w:sz w:val="20"/>
          <w:szCs w:val="20"/>
          <w:lang w:val="en-GB"/>
        </w:rPr>
        <w:t>[</w:t>
      </w:r>
      <w:r w:rsidRPr="005457BE">
        <w:rPr>
          <w:rFonts w:cs="Arial"/>
          <w:bCs/>
          <w:sz w:val="20"/>
          <w:szCs w:val="20"/>
          <w:lang w:val="en-GB"/>
        </w:rPr>
        <w:t>Accessed 20</w:t>
      </w:r>
      <w:r w:rsidRPr="005457BE">
        <w:rPr>
          <w:rFonts w:cs="Arial"/>
          <w:bCs/>
          <w:sz w:val="20"/>
          <w:szCs w:val="20"/>
          <w:vertAlign w:val="superscript"/>
          <w:lang w:val="en-GB"/>
        </w:rPr>
        <w:t>th</w:t>
      </w:r>
      <w:r w:rsidRPr="005457BE">
        <w:rPr>
          <w:rFonts w:cs="Arial"/>
          <w:bCs/>
          <w:sz w:val="20"/>
          <w:szCs w:val="20"/>
          <w:lang w:val="en-GB"/>
        </w:rPr>
        <w:t xml:space="preserve"> of October 2018]</w:t>
      </w:r>
    </w:p>
    <w:p w14:paraId="0CC025B6" w14:textId="7E1937EE" w:rsidR="005457BE" w:rsidRPr="00CD1194" w:rsidRDefault="005457BE" w:rsidP="005457BE">
      <w:pPr>
        <w:spacing w:line="276" w:lineRule="auto"/>
        <w:ind w:firstLine="709"/>
        <w:jc w:val="both"/>
        <w:rPr>
          <w:rFonts w:cs="Arial"/>
          <w:bCs/>
          <w:sz w:val="20"/>
          <w:szCs w:val="20"/>
        </w:rPr>
      </w:pPr>
      <w:r>
        <w:rPr>
          <w:rFonts w:cs="Arial"/>
          <w:bCs/>
          <w:sz w:val="20"/>
          <w:szCs w:val="20"/>
          <w:lang w:val="en-GB"/>
        </w:rPr>
        <w:t>GUS</w:t>
      </w:r>
      <w:r w:rsidRPr="005457BE">
        <w:rPr>
          <w:rFonts w:cs="Arial"/>
          <w:bCs/>
          <w:sz w:val="20"/>
          <w:szCs w:val="20"/>
          <w:lang w:val="en-GB"/>
        </w:rPr>
        <w:t xml:space="preserve"> (2018). Energia 2018. </w:t>
      </w:r>
      <w:r w:rsidRPr="00CD1194">
        <w:rPr>
          <w:rFonts w:cs="Arial"/>
          <w:bCs/>
          <w:sz w:val="20"/>
          <w:szCs w:val="20"/>
        </w:rPr>
        <w:t xml:space="preserve">Avialable at: </w:t>
      </w:r>
      <w:hyperlink r:id="rId44" w:history="1">
        <w:r w:rsidRPr="00CD1194">
          <w:rPr>
            <w:rStyle w:val="Hipercze"/>
            <w:rFonts w:cs="Arial"/>
            <w:bCs/>
            <w:sz w:val="20"/>
            <w:szCs w:val="20"/>
          </w:rPr>
          <w:t>https://stat.gov.pl/files/gfx/portalinformacyjny/pl/defaultaktualnosci/5485/1/6/1/energia_2018.pdf</w:t>
        </w:r>
      </w:hyperlink>
      <w:r w:rsidRPr="00CD1194">
        <w:rPr>
          <w:rFonts w:cs="Arial"/>
          <w:bCs/>
          <w:sz w:val="20"/>
          <w:szCs w:val="20"/>
        </w:rPr>
        <w:t xml:space="preserve"> </w:t>
      </w:r>
      <w:r w:rsidRPr="00CD1194">
        <w:rPr>
          <w:rFonts w:cs="Arial"/>
          <w:sz w:val="20"/>
          <w:szCs w:val="20"/>
        </w:rPr>
        <w:t>[</w:t>
      </w:r>
      <w:r w:rsidR="00CD1194" w:rsidRPr="00CD1194">
        <w:rPr>
          <w:rFonts w:cs="Arial"/>
          <w:sz w:val="20"/>
          <w:szCs w:val="20"/>
        </w:rPr>
        <w:t>Data dostępu 20 października 2018</w:t>
      </w:r>
      <w:r w:rsidRPr="00CD1194">
        <w:rPr>
          <w:rFonts w:cs="Arial"/>
          <w:bCs/>
          <w:sz w:val="20"/>
          <w:szCs w:val="20"/>
        </w:rPr>
        <w:t>]</w:t>
      </w:r>
    </w:p>
    <w:p w14:paraId="4273626D" w14:textId="1F3B9CCD" w:rsidR="005457BE" w:rsidRPr="005457BE" w:rsidRDefault="005457BE" w:rsidP="005457BE">
      <w:pPr>
        <w:spacing w:line="276" w:lineRule="auto"/>
        <w:ind w:firstLine="709"/>
        <w:jc w:val="both"/>
        <w:rPr>
          <w:rFonts w:cs="Arial"/>
          <w:bCs/>
          <w:sz w:val="20"/>
          <w:szCs w:val="20"/>
          <w:lang w:val="en-GB"/>
        </w:rPr>
      </w:pPr>
      <w:r w:rsidRPr="005457BE">
        <w:rPr>
          <w:rFonts w:cs="Arial"/>
          <w:sz w:val="20"/>
          <w:szCs w:val="20"/>
          <w:lang w:val="en-GB"/>
        </w:rPr>
        <w:t xml:space="preserve">Henderson J., Hart J. (2015). BREDEM 2012 – A technical description of the BRE Domestic Energy Model. Available at: </w:t>
      </w:r>
      <w:hyperlink r:id="rId45" w:history="1">
        <w:r w:rsidRPr="005457BE">
          <w:rPr>
            <w:rStyle w:val="Hipercze"/>
            <w:rFonts w:cs="Arial"/>
            <w:sz w:val="20"/>
            <w:szCs w:val="20"/>
            <w:lang w:val="en-GB"/>
          </w:rPr>
          <w:t>https://www.bre.co.uk/filelibrary/bredem/BREDEM-2012-specification.pdf</w:t>
        </w:r>
      </w:hyperlink>
      <w:r w:rsidRPr="005457BE">
        <w:rPr>
          <w:rFonts w:cs="Arial"/>
          <w:sz w:val="20"/>
          <w:szCs w:val="20"/>
          <w:lang w:val="en-GB"/>
        </w:rPr>
        <w:t xml:space="preserve"> [</w:t>
      </w:r>
      <w:r w:rsidR="00CD1194" w:rsidRPr="00CD1194">
        <w:rPr>
          <w:rFonts w:cs="Arial"/>
          <w:sz w:val="20"/>
          <w:szCs w:val="20"/>
        </w:rPr>
        <w:t xml:space="preserve">Data dostępu </w:t>
      </w:r>
      <w:r w:rsidR="00CD1194">
        <w:rPr>
          <w:rFonts w:cs="Arial"/>
          <w:sz w:val="20"/>
          <w:szCs w:val="20"/>
        </w:rPr>
        <w:t>15</w:t>
      </w:r>
      <w:r w:rsidR="00CD1194" w:rsidRPr="00CD1194">
        <w:rPr>
          <w:rFonts w:cs="Arial"/>
          <w:sz w:val="20"/>
          <w:szCs w:val="20"/>
        </w:rPr>
        <w:t xml:space="preserve"> października 2018</w:t>
      </w:r>
      <w:r w:rsidRPr="005457BE">
        <w:rPr>
          <w:rFonts w:cs="Arial"/>
          <w:bCs/>
          <w:sz w:val="20"/>
          <w:szCs w:val="20"/>
          <w:lang w:val="en-GB"/>
        </w:rPr>
        <w:t>]</w:t>
      </w:r>
    </w:p>
    <w:p w14:paraId="5F93C8FC" w14:textId="77777777" w:rsidR="005457BE" w:rsidRPr="005457BE" w:rsidRDefault="005457BE" w:rsidP="005457BE">
      <w:pPr>
        <w:spacing w:line="276" w:lineRule="auto"/>
        <w:ind w:firstLine="709"/>
        <w:jc w:val="both"/>
        <w:rPr>
          <w:rFonts w:cs="Arial"/>
          <w:sz w:val="20"/>
          <w:szCs w:val="20"/>
          <w:lang w:val="en-GB"/>
        </w:rPr>
      </w:pPr>
      <w:r w:rsidRPr="005457BE">
        <w:rPr>
          <w:rFonts w:cs="Arial"/>
          <w:sz w:val="20"/>
          <w:szCs w:val="20"/>
          <w:lang w:val="en-GB"/>
        </w:rPr>
        <w:t xml:space="preserve">Hills, J. (2012). </w:t>
      </w:r>
      <w:r w:rsidRPr="005457BE">
        <w:rPr>
          <w:rFonts w:cs="Arial"/>
          <w:i/>
          <w:sz w:val="20"/>
          <w:szCs w:val="20"/>
          <w:lang w:val="en-GB"/>
        </w:rPr>
        <w:t>Getting the measure of fuel poverty. Final Report of the Fuel Poverty Review. CASE report 72</w:t>
      </w:r>
      <w:r w:rsidRPr="005457BE">
        <w:rPr>
          <w:rFonts w:cs="Arial"/>
          <w:sz w:val="20"/>
          <w:szCs w:val="20"/>
          <w:lang w:val="en-GB"/>
        </w:rPr>
        <w:t>. London: Department of Energy and Climate Change.</w:t>
      </w:r>
    </w:p>
    <w:p w14:paraId="43926023" w14:textId="77777777" w:rsidR="005457BE" w:rsidRPr="005457BE" w:rsidRDefault="005457BE" w:rsidP="005457BE">
      <w:pPr>
        <w:spacing w:line="276" w:lineRule="auto"/>
        <w:ind w:firstLine="709"/>
        <w:jc w:val="both"/>
        <w:rPr>
          <w:rFonts w:cs="Arial"/>
          <w:bCs/>
          <w:sz w:val="20"/>
          <w:szCs w:val="20"/>
          <w:lang w:val="en-GB"/>
        </w:rPr>
      </w:pPr>
      <w:r w:rsidRPr="005457BE">
        <w:rPr>
          <w:rFonts w:cs="Arial"/>
          <w:bCs/>
          <w:sz w:val="20"/>
          <w:szCs w:val="20"/>
          <w:lang w:val="en-GB"/>
        </w:rPr>
        <w:t xml:space="preserve">IEA (2017) Energy Policies of IEA Countries. Poland: 2016 Review. IEA. </w:t>
      </w:r>
    </w:p>
    <w:p w14:paraId="617EEA77" w14:textId="3A29BCC4" w:rsidR="005457BE" w:rsidRPr="005457BE" w:rsidRDefault="005457BE" w:rsidP="005457BE">
      <w:pPr>
        <w:spacing w:line="276" w:lineRule="auto"/>
        <w:ind w:firstLine="709"/>
        <w:jc w:val="both"/>
        <w:rPr>
          <w:rFonts w:cs="Arial"/>
          <w:bCs/>
          <w:sz w:val="20"/>
          <w:szCs w:val="20"/>
          <w:lang w:val="en-GB"/>
        </w:rPr>
      </w:pPr>
      <w:r w:rsidRPr="005457BE">
        <w:rPr>
          <w:rFonts w:cs="Arial"/>
          <w:bCs/>
          <w:sz w:val="20"/>
          <w:szCs w:val="20"/>
          <w:lang w:val="en-GB"/>
        </w:rPr>
        <w:t xml:space="preserve">INSIGHT_E (2015). Energy poverty and vulnerable consumers in the energy sector across the EU: analysis of policies and measures. Available at: </w:t>
      </w:r>
      <w:hyperlink r:id="rId46" w:anchor="?publication=15" w:history="1">
        <w:r w:rsidRPr="005457BE">
          <w:rPr>
            <w:rStyle w:val="Hipercze"/>
            <w:rFonts w:cs="Arial"/>
            <w:bCs/>
            <w:sz w:val="20"/>
            <w:szCs w:val="20"/>
            <w:lang w:val="en-GB"/>
          </w:rPr>
          <w:t>http://www.insightenergy.org/static_pages/publications#?publication=15</w:t>
        </w:r>
      </w:hyperlink>
      <w:r w:rsidRPr="005457BE">
        <w:rPr>
          <w:rFonts w:cs="Arial"/>
          <w:bCs/>
          <w:sz w:val="20"/>
          <w:szCs w:val="20"/>
          <w:lang w:val="en-GB"/>
        </w:rPr>
        <w:t xml:space="preserve"> [</w:t>
      </w:r>
      <w:r w:rsidR="00CD1194" w:rsidRPr="00CD1194">
        <w:rPr>
          <w:rFonts w:cs="Arial"/>
          <w:sz w:val="20"/>
          <w:szCs w:val="20"/>
        </w:rPr>
        <w:t xml:space="preserve">Data dostępu </w:t>
      </w:r>
      <w:r w:rsidR="00CD1194">
        <w:rPr>
          <w:rFonts w:cs="Arial"/>
          <w:sz w:val="20"/>
          <w:szCs w:val="20"/>
        </w:rPr>
        <w:t>10</w:t>
      </w:r>
      <w:r w:rsidR="00CD1194" w:rsidRPr="00CD1194">
        <w:rPr>
          <w:rFonts w:cs="Arial"/>
          <w:sz w:val="20"/>
          <w:szCs w:val="20"/>
        </w:rPr>
        <w:t xml:space="preserve"> października 2018</w:t>
      </w:r>
      <w:r w:rsidRPr="005457BE">
        <w:rPr>
          <w:rFonts w:cs="Arial"/>
          <w:bCs/>
          <w:sz w:val="20"/>
          <w:szCs w:val="20"/>
          <w:lang w:val="en-GB"/>
        </w:rPr>
        <w:t>]</w:t>
      </w:r>
    </w:p>
    <w:p w14:paraId="5CF5C992" w14:textId="77777777" w:rsidR="005457BE" w:rsidRPr="005457BE" w:rsidRDefault="005457BE" w:rsidP="005457BE">
      <w:pPr>
        <w:spacing w:line="276" w:lineRule="auto"/>
        <w:ind w:firstLine="709"/>
        <w:jc w:val="both"/>
        <w:rPr>
          <w:rFonts w:cs="Arial"/>
          <w:sz w:val="20"/>
          <w:szCs w:val="20"/>
          <w:lang w:val="en-GB"/>
        </w:rPr>
      </w:pPr>
      <w:r w:rsidRPr="00BC6FBB">
        <w:rPr>
          <w:rFonts w:cs="Arial"/>
          <w:sz w:val="20"/>
          <w:szCs w:val="20"/>
        </w:rPr>
        <w:t xml:space="preserve">Lewandowski P., Sałach K. (2018). </w:t>
      </w:r>
      <w:r w:rsidRPr="005457BE">
        <w:rPr>
          <w:rFonts w:cs="Arial"/>
          <w:sz w:val="20"/>
          <w:szCs w:val="20"/>
        </w:rPr>
        <w:t xml:space="preserve">Pomiar ubóstwa energetycznego na podstawie danych BBGD – metodologia i zastosowanie. </w:t>
      </w:r>
      <w:r w:rsidRPr="005457BE">
        <w:rPr>
          <w:rFonts w:cs="Arial"/>
          <w:i/>
          <w:sz w:val="20"/>
          <w:szCs w:val="20"/>
          <w:lang w:val="en-GB"/>
        </w:rPr>
        <w:t>IBS Research Report 01/2018</w:t>
      </w:r>
      <w:r w:rsidRPr="005457BE">
        <w:rPr>
          <w:rFonts w:cs="Arial"/>
          <w:sz w:val="20"/>
          <w:szCs w:val="20"/>
          <w:lang w:val="en-GB"/>
        </w:rPr>
        <w:t>.</w:t>
      </w:r>
    </w:p>
    <w:p w14:paraId="5C42C6EC" w14:textId="77777777" w:rsidR="005457BE" w:rsidRPr="005457BE" w:rsidRDefault="005457BE" w:rsidP="005457BE">
      <w:pPr>
        <w:spacing w:line="276" w:lineRule="auto"/>
        <w:ind w:firstLine="709"/>
        <w:jc w:val="both"/>
        <w:rPr>
          <w:rFonts w:cs="Arial"/>
          <w:sz w:val="20"/>
          <w:szCs w:val="20"/>
          <w:lang w:val="en-GB"/>
        </w:rPr>
      </w:pPr>
      <w:r w:rsidRPr="005457BE">
        <w:rPr>
          <w:rFonts w:cs="Arial"/>
          <w:sz w:val="20"/>
          <w:szCs w:val="20"/>
          <w:lang w:val="en-GB"/>
        </w:rPr>
        <w:t xml:space="preserve">Liddell, C. Morris, C., McKenzie, S.J.P and G. Rae (2012). Measuring and monitoring fuel poverty in the UK: National and regional perspectives. </w:t>
      </w:r>
      <w:r w:rsidRPr="005457BE">
        <w:rPr>
          <w:rFonts w:cs="Arial"/>
          <w:i/>
          <w:sz w:val="20"/>
          <w:szCs w:val="20"/>
          <w:lang w:val="en-GB"/>
        </w:rPr>
        <w:t>Energy Policy 38 (49)</w:t>
      </w:r>
      <w:r w:rsidRPr="005457BE">
        <w:rPr>
          <w:rFonts w:cs="Arial"/>
          <w:sz w:val="20"/>
          <w:szCs w:val="20"/>
          <w:lang w:val="en-GB"/>
        </w:rPr>
        <w:t>, 27–32.</w:t>
      </w:r>
    </w:p>
    <w:p w14:paraId="08D62042" w14:textId="77777777" w:rsidR="005457BE" w:rsidRPr="00BC6FBB" w:rsidRDefault="005457BE" w:rsidP="005457BE">
      <w:pPr>
        <w:spacing w:line="276" w:lineRule="auto"/>
        <w:ind w:firstLine="709"/>
        <w:jc w:val="both"/>
        <w:rPr>
          <w:rFonts w:cs="Arial"/>
          <w:sz w:val="20"/>
          <w:szCs w:val="20"/>
          <w:lang w:val="en-GB"/>
        </w:rPr>
      </w:pPr>
      <w:r w:rsidRPr="005457BE">
        <w:rPr>
          <w:rFonts w:cs="Arial"/>
          <w:sz w:val="20"/>
          <w:szCs w:val="20"/>
        </w:rPr>
        <w:t xml:space="preserve">Lis M., Miazga A., Sałach K. (2017). </w:t>
      </w:r>
      <w:r w:rsidRPr="005457BE">
        <w:rPr>
          <w:rFonts w:cs="Arial"/>
          <w:sz w:val="20"/>
          <w:szCs w:val="20"/>
          <w:lang w:val="en-GB"/>
        </w:rPr>
        <w:t xml:space="preserve">Location, location, location. What accounts for the regional variation of Energy poverty in Poland. Simcock N., Thomson H., Petrova S., Bouzarovski S. (eds.) </w:t>
      </w:r>
      <w:r w:rsidRPr="005457BE">
        <w:rPr>
          <w:rFonts w:cs="Arial"/>
          <w:i/>
          <w:iCs/>
          <w:sz w:val="20"/>
          <w:szCs w:val="20"/>
          <w:lang w:val="en-GB"/>
        </w:rPr>
        <w:t xml:space="preserve">Energy Poverty and Vulnerability A Global Perspective </w:t>
      </w:r>
      <w:r w:rsidRPr="005457BE">
        <w:rPr>
          <w:rFonts w:cs="Arial"/>
          <w:sz w:val="20"/>
          <w:szCs w:val="20"/>
          <w:lang w:val="en-GB"/>
        </w:rPr>
        <w:t xml:space="preserve">(pp. 119-140). </w:t>
      </w:r>
      <w:r w:rsidRPr="00BC6FBB">
        <w:rPr>
          <w:rFonts w:cs="Arial"/>
          <w:sz w:val="20"/>
          <w:szCs w:val="20"/>
          <w:lang w:val="en-GB"/>
        </w:rPr>
        <w:t>London, Routledge.</w:t>
      </w:r>
    </w:p>
    <w:p w14:paraId="2FC0F6BB" w14:textId="61C6C8FC" w:rsidR="002C5761" w:rsidRPr="00CD1194" w:rsidRDefault="005457BE" w:rsidP="00CD1194">
      <w:pPr>
        <w:spacing w:line="276" w:lineRule="auto"/>
        <w:ind w:firstLine="709"/>
        <w:jc w:val="both"/>
        <w:rPr>
          <w:rFonts w:cs="Arial"/>
          <w:sz w:val="20"/>
          <w:szCs w:val="20"/>
          <w:lang w:val="en-GB"/>
        </w:rPr>
      </w:pPr>
      <w:r w:rsidRPr="005457BE">
        <w:rPr>
          <w:rFonts w:cs="Arial"/>
          <w:sz w:val="20"/>
          <w:szCs w:val="20"/>
          <w:lang w:val="en-GB"/>
        </w:rPr>
        <w:t xml:space="preserve">Moore R. (2012). Definitions of fuel poverty: Implications for policy. </w:t>
      </w:r>
      <w:r w:rsidRPr="005457BE">
        <w:rPr>
          <w:rFonts w:cs="Arial"/>
          <w:i/>
          <w:sz w:val="20"/>
          <w:szCs w:val="20"/>
          <w:lang w:val="en-GB"/>
        </w:rPr>
        <w:t>Energy Policy</w:t>
      </w:r>
      <w:r w:rsidRPr="005457BE">
        <w:rPr>
          <w:rFonts w:cs="Arial"/>
          <w:sz w:val="20"/>
          <w:szCs w:val="20"/>
          <w:lang w:val="en-GB"/>
        </w:rPr>
        <w:t xml:space="preserve"> </w:t>
      </w:r>
      <w:r w:rsidRPr="005457BE">
        <w:rPr>
          <w:rFonts w:cs="Arial"/>
          <w:i/>
          <w:sz w:val="20"/>
          <w:szCs w:val="20"/>
          <w:lang w:val="en-GB"/>
        </w:rPr>
        <w:t>49(C)</w:t>
      </w:r>
      <w:r w:rsidRPr="005457BE">
        <w:rPr>
          <w:rFonts w:cs="Arial"/>
          <w:sz w:val="20"/>
          <w:szCs w:val="20"/>
          <w:lang w:val="en-GB"/>
        </w:rPr>
        <w:t>, 19-26.</w:t>
      </w:r>
      <w:bookmarkEnd w:id="0"/>
      <w:bookmarkEnd w:id="5"/>
      <w:bookmarkEnd w:id="6"/>
      <w:bookmarkEnd w:id="7"/>
      <w:bookmarkEnd w:id="8"/>
      <w:bookmarkEnd w:id="9"/>
      <w:bookmarkEnd w:id="10"/>
    </w:p>
    <w:sectPr w:rsidR="002C5761" w:rsidRPr="00CD1194" w:rsidSect="009377CA">
      <w:headerReference w:type="default" r:id="rId47"/>
      <w:footerReference w:type="default" r:id="rId48"/>
      <w:pgSz w:w="11906" w:h="16838"/>
      <w:pgMar w:top="1418" w:right="1418" w:bottom="1418" w:left="1418" w:header="709" w:footer="340" w:gutter="261"/>
      <w:cols w:space="255"/>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A99B9FD" w16cid:durableId="1F3C31CA"/>
  <w16cid:commentId w16cid:paraId="0BFA14CD" w16cid:durableId="1F3C31F7"/>
  <w16cid:commentId w16cid:paraId="60C6C376" w16cid:durableId="1F3C32EE"/>
  <w16cid:commentId w16cid:paraId="75E3F461" w16cid:durableId="1F3C3277"/>
  <w16cid:commentId w16cid:paraId="5EC73076" w16cid:durableId="1F3C326B"/>
  <w16cid:commentId w16cid:paraId="17D6B5B5" w16cid:durableId="1F3C32B1"/>
  <w16cid:commentId w16cid:paraId="4D7017EB" w16cid:durableId="1F3C34D3"/>
  <w16cid:commentId w16cid:paraId="4E330EE3" w16cid:durableId="1F3C35D9"/>
  <w16cid:commentId w16cid:paraId="6E3C9B8F" w16cid:durableId="1F3C35F9"/>
  <w16cid:commentId w16cid:paraId="2C35B573" w16cid:durableId="1F3C3540"/>
  <w16cid:commentId w16cid:paraId="0DE4CD00" w16cid:durableId="1F3C3552"/>
  <w16cid:commentId w16cid:paraId="102B95F2" w16cid:durableId="1F3C36AB"/>
  <w16cid:commentId w16cid:paraId="22F5A9D8" w16cid:durableId="1F3C36D0"/>
  <w16cid:commentId w16cid:paraId="1C771C90" w16cid:durableId="1F3C399A"/>
  <w16cid:commentId w16cid:paraId="52324AA4" w16cid:durableId="1F3C373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9D6DF3" w14:textId="77777777" w:rsidR="007F0440" w:rsidRDefault="007F0440">
      <w:r>
        <w:separator/>
      </w:r>
    </w:p>
    <w:p w14:paraId="418FE5BC" w14:textId="77777777" w:rsidR="007F0440" w:rsidRDefault="007F0440"/>
    <w:p w14:paraId="486D2AB3" w14:textId="77777777" w:rsidR="007F0440" w:rsidRDefault="007F0440" w:rsidP="00C14F0A"/>
    <w:p w14:paraId="1F0BE0DB" w14:textId="77777777" w:rsidR="007F0440" w:rsidRDefault="007F0440" w:rsidP="00C14F0A"/>
  </w:endnote>
  <w:endnote w:type="continuationSeparator" w:id="0">
    <w:p w14:paraId="05BFA5A1" w14:textId="77777777" w:rsidR="007F0440" w:rsidRDefault="007F0440">
      <w:r>
        <w:continuationSeparator/>
      </w:r>
    </w:p>
    <w:p w14:paraId="2441C005" w14:textId="77777777" w:rsidR="007F0440" w:rsidRDefault="007F0440"/>
    <w:p w14:paraId="097051F1" w14:textId="77777777" w:rsidR="007F0440" w:rsidRDefault="007F0440" w:rsidP="00C14F0A"/>
    <w:p w14:paraId="35044106" w14:textId="77777777" w:rsidR="007F0440" w:rsidRDefault="007F0440" w:rsidP="00C14F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EYInterstate Light">
    <w:altName w:val="Times New Roman"/>
    <w:charset w:val="EE"/>
    <w:family w:val="auto"/>
    <w:pitch w:val="variable"/>
    <w:sig w:usb0="00000001" w:usb1="5000206A" w:usb2="00000000" w:usb3="00000000" w:csb0="0000009F" w:csb1="00000000"/>
  </w:font>
  <w:font w:name="EY Gothic Cond Medium">
    <w:altName w:val="Times New Roman"/>
    <w:charset w:val="00"/>
    <w:family w:val="auto"/>
    <w:pitch w:val="variable"/>
    <w:sig w:usb0="00000001" w:usb1="00000040" w:usb2="00000000" w:usb3="00000000" w:csb0="00000009"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SC STKaiti">
    <w:charset w:val="86"/>
    <w:family w:val="auto"/>
    <w:pitch w:val="variable"/>
    <w:sig w:usb0="00000287" w:usb1="080F0000" w:usb2="00000010" w:usb3="00000000" w:csb0="0004009F" w:csb1="00000000"/>
  </w:font>
  <w:font w:name="Cambria">
    <w:panose1 w:val="02040503050406030204"/>
    <w:charset w:val="EE"/>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EYInterstate Regular">
    <w:altName w:val="Times New Roman"/>
    <w:charset w:val="00"/>
    <w:family w:val="auto"/>
    <w:pitch w:val="variable"/>
    <w:sig w:usb0="00000001" w:usb1="5000206A" w:usb2="00000000" w:usb3="00000000" w:csb0="0000009F" w:csb1="00000000"/>
  </w:font>
  <w:font w:name="Times">
    <w:panose1 w:val="02020603060405020304"/>
    <w:charset w:val="EE"/>
    <w:family w:val="roman"/>
    <w:pitch w:val="variable"/>
    <w:sig w:usb0="00000007" w:usb1="00000000" w:usb2="00000000" w:usb3="00000000" w:csb0="00000093" w:csb1="00000000"/>
  </w:font>
  <w:font w:name="EUAlbertina">
    <w:altName w:val="Times New Roman"/>
    <w:panose1 w:val="00000000000000000000"/>
    <w:charset w:val="00"/>
    <w:family w:val="roman"/>
    <w:notTrueType/>
    <w:pitch w:val="default"/>
    <w:sig w:usb0="00000001" w:usb1="00000000" w:usb2="00000000" w:usb3="00000000" w:csb0="00000003"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12" w:space="0" w:color="808080" w:themeColor="background1" w:themeShade="80"/>
      </w:tblBorders>
      <w:tblLook w:val="04A0" w:firstRow="1" w:lastRow="0" w:firstColumn="1" w:lastColumn="0" w:noHBand="0" w:noVBand="1"/>
    </w:tblPr>
    <w:tblGrid>
      <w:gridCol w:w="3085"/>
      <w:gridCol w:w="5940"/>
    </w:tblGrid>
    <w:tr w:rsidR="00BC6FBB" w14:paraId="4C85CA64" w14:textId="77777777" w:rsidTr="00796C21">
      <w:tc>
        <w:tcPr>
          <w:tcW w:w="1709" w:type="pct"/>
        </w:tcPr>
        <w:p w14:paraId="4E471A1B" w14:textId="51391848" w:rsidR="00BC6FBB" w:rsidRPr="00796C21" w:rsidRDefault="00BC6FBB" w:rsidP="00B01551">
          <w:pPr>
            <w:pStyle w:val="Nagwek"/>
            <w:spacing w:before="120" w:after="0"/>
            <w:rPr>
              <w:rFonts w:cs="Arial"/>
              <w:szCs w:val="18"/>
            </w:rPr>
          </w:pPr>
          <w:r>
            <w:rPr>
              <w:color w:val="000000" w:themeColor="text1"/>
              <w:szCs w:val="18"/>
            </w:rPr>
            <w:t>EY &amp; IBS 2018</w:t>
          </w:r>
        </w:p>
      </w:tc>
      <w:tc>
        <w:tcPr>
          <w:tcW w:w="3291" w:type="pct"/>
        </w:tcPr>
        <w:p w14:paraId="18C15926" w14:textId="77777777" w:rsidR="00BC6FBB" w:rsidRPr="00796C21" w:rsidRDefault="00BC6FBB" w:rsidP="00A83D13">
          <w:pPr>
            <w:pStyle w:val="Nagwek"/>
            <w:spacing w:before="120" w:after="0"/>
            <w:jc w:val="right"/>
            <w:rPr>
              <w:rFonts w:cs="Arial"/>
              <w:szCs w:val="18"/>
            </w:rPr>
          </w:pPr>
        </w:p>
      </w:tc>
    </w:tr>
  </w:tbl>
  <w:p w14:paraId="43B23206" w14:textId="77777777" w:rsidR="00BC6FBB" w:rsidRPr="00650BC8" w:rsidRDefault="00BC6FBB" w:rsidP="00650BC8">
    <w:pPr>
      <w:tabs>
        <w:tab w:val="left" w:pos="0"/>
        <w:tab w:val="right" w:pos="6570"/>
      </w:tabs>
      <w:rPr>
        <w:rFonts w:cs="Arial"/>
        <w:sz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12" w:space="0" w:color="808080" w:themeColor="background1" w:themeShade="80"/>
      </w:tblBorders>
      <w:tblLook w:val="04A0" w:firstRow="1" w:lastRow="0" w:firstColumn="1" w:lastColumn="0" w:noHBand="0" w:noVBand="1"/>
    </w:tblPr>
    <w:tblGrid>
      <w:gridCol w:w="3085"/>
      <w:gridCol w:w="5940"/>
    </w:tblGrid>
    <w:tr w:rsidR="00BC6FBB" w14:paraId="775CD857" w14:textId="77777777" w:rsidTr="00244320">
      <w:tc>
        <w:tcPr>
          <w:tcW w:w="1709" w:type="pct"/>
        </w:tcPr>
        <w:p w14:paraId="5FD89B24" w14:textId="69A96CA0" w:rsidR="00BC6FBB" w:rsidRPr="00796C21" w:rsidRDefault="00BC6FBB" w:rsidP="00B01551">
          <w:pPr>
            <w:pStyle w:val="Nagwek"/>
            <w:spacing w:before="120" w:after="0"/>
            <w:rPr>
              <w:rFonts w:cs="Arial"/>
              <w:szCs w:val="18"/>
            </w:rPr>
          </w:pPr>
          <w:r>
            <w:rPr>
              <w:color w:val="000000" w:themeColor="text1"/>
              <w:szCs w:val="18"/>
            </w:rPr>
            <w:t>EY &amp; IBS 2018</w:t>
          </w:r>
        </w:p>
      </w:tc>
      <w:tc>
        <w:tcPr>
          <w:tcW w:w="3291" w:type="pct"/>
        </w:tcPr>
        <w:p w14:paraId="13C4938A" w14:textId="77777777" w:rsidR="00BC6FBB" w:rsidRPr="00796C21" w:rsidRDefault="00BC6FBB" w:rsidP="00244320">
          <w:pPr>
            <w:pStyle w:val="Nagwek"/>
            <w:spacing w:before="120" w:after="0"/>
            <w:jc w:val="right"/>
            <w:rPr>
              <w:rFonts w:cs="Arial"/>
              <w:szCs w:val="18"/>
            </w:rPr>
          </w:pPr>
        </w:p>
      </w:tc>
    </w:tr>
  </w:tbl>
  <w:p w14:paraId="3FE47F30" w14:textId="77777777" w:rsidR="00BC6FBB" w:rsidRDefault="00BC6FBB">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2B9B0B" w14:textId="77777777" w:rsidR="00BC6FBB" w:rsidRPr="00082673" w:rsidRDefault="00BC6FBB" w:rsidP="0008267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3A2CD3" w14:textId="77777777" w:rsidR="007F0440" w:rsidRDefault="007F0440">
      <w:r>
        <w:separator/>
      </w:r>
    </w:p>
  </w:footnote>
  <w:footnote w:type="continuationSeparator" w:id="0">
    <w:p w14:paraId="455D18AF" w14:textId="77777777" w:rsidR="007F0440" w:rsidRDefault="007F0440">
      <w:r>
        <w:continuationSeparator/>
      </w:r>
    </w:p>
  </w:footnote>
  <w:footnote w:id="1">
    <w:p w14:paraId="39960864" w14:textId="4C37A9B2" w:rsidR="00BC6FBB" w:rsidRPr="00BC6FBB" w:rsidRDefault="00BC6FBB">
      <w:pPr>
        <w:pStyle w:val="Tekstprzypisudolnego"/>
      </w:pPr>
      <w:r>
        <w:rPr>
          <w:rStyle w:val="Odwoanieprzypisudolnego"/>
        </w:rPr>
        <w:footnoteRef/>
      </w:r>
      <w:r w:rsidRPr="00BC6FBB">
        <w:t xml:space="preserve"> Istniej</w:t>
      </w:r>
      <w:r>
        <w:t>ą</w:t>
      </w:r>
      <w:r w:rsidRPr="00BC6FBB">
        <w:t xml:space="preserve"> </w:t>
      </w:r>
      <w:r>
        <w:t>różne sposoby zrozumienia ubóstwa energetycznego, por.</w:t>
      </w:r>
      <w:r w:rsidRPr="00BC6FBB">
        <w:t xml:space="preserve">: Bouzarovski </w:t>
      </w:r>
      <w:r>
        <w:t>i</w:t>
      </w:r>
      <w:r w:rsidRPr="00BC6FBB">
        <w:t xml:space="preserve"> Petrova (2015).</w:t>
      </w:r>
    </w:p>
  </w:footnote>
  <w:footnote w:id="2">
    <w:p w14:paraId="628A4EFF" w14:textId="77777777" w:rsidR="00BC6FBB" w:rsidRPr="00E30D91" w:rsidRDefault="00BC6FBB" w:rsidP="00D93476">
      <w:pPr>
        <w:pStyle w:val="Tekstprzypisudolnego"/>
      </w:pPr>
      <w:r w:rsidRPr="00E30D91">
        <w:rPr>
          <w:rStyle w:val="Odwoanieprzypisudolnego"/>
        </w:rPr>
        <w:footnoteRef/>
      </w:r>
      <w:r w:rsidRPr="00E30D91">
        <w:t xml:space="preserve"> Szczegóły programu dostępne na stronie: </w:t>
      </w:r>
      <w:hyperlink r:id="rId1" w:history="1">
        <w:r w:rsidRPr="00E82FDA">
          <w:rPr>
            <w:rStyle w:val="Hipercze"/>
          </w:rPr>
          <w:t>https://www.mos.gov.pl/czyste-powietrze/</w:t>
        </w:r>
      </w:hyperlink>
      <w:r>
        <w:t xml:space="preserve"> </w:t>
      </w:r>
    </w:p>
  </w:footnote>
  <w:footnote w:id="3">
    <w:p w14:paraId="4E064E74" w14:textId="3CC3EFA8" w:rsidR="00BC6FBB" w:rsidRPr="00961B46" w:rsidRDefault="00BC6FBB" w:rsidP="00032AD0">
      <w:pPr>
        <w:pStyle w:val="Tekstprzypisudolnego"/>
      </w:pPr>
      <w:r>
        <w:rPr>
          <w:rStyle w:val="Odwoanieprzypisudolnego"/>
        </w:rPr>
        <w:footnoteRef/>
      </w:r>
      <w:r w:rsidRPr="00961B46">
        <w:t xml:space="preserve"> </w:t>
      </w:r>
      <w:r w:rsidRPr="00AC6A1A">
        <w:t>Rozporządzalny dochód pomniejszony o stałe koszty utrzymania mieszkania</w:t>
      </w:r>
    </w:p>
  </w:footnote>
  <w:footnote w:id="4">
    <w:p w14:paraId="22268C44" w14:textId="77777777" w:rsidR="00BC6FBB" w:rsidRPr="00961B46" w:rsidRDefault="00BC6FBB" w:rsidP="003748D5">
      <w:pPr>
        <w:pStyle w:val="Tekstprzypisudolnego"/>
      </w:pPr>
      <w:r>
        <w:rPr>
          <w:rStyle w:val="Odwoanieprzypisudolnego"/>
        </w:rPr>
        <w:footnoteRef/>
      </w:r>
      <w:r w:rsidRPr="00961B46">
        <w:t xml:space="preserve"> </w:t>
      </w:r>
      <w:r w:rsidRPr="00AC6A1A">
        <w:t>Rozporządzalny dochód pomniejszony o stałe koszty utrzymania mieszkania</w:t>
      </w:r>
    </w:p>
  </w:footnote>
  <w:footnote w:id="5">
    <w:p w14:paraId="366C5F22" w14:textId="14E3A584" w:rsidR="00BC6FBB" w:rsidRPr="00CD1194" w:rsidRDefault="00BC6FBB">
      <w:pPr>
        <w:pStyle w:val="Tekstprzypisudolnego"/>
      </w:pPr>
      <w:r>
        <w:rPr>
          <w:rStyle w:val="Odwoanieprzypisudolnego"/>
        </w:rPr>
        <w:footnoteRef/>
      </w:r>
      <w:r w:rsidRPr="00CD1194">
        <w:t xml:space="preserve"> </w:t>
      </w:r>
      <w:r w:rsidR="00CD1194" w:rsidRPr="00CD1194">
        <w:t xml:space="preserve">Szczegółowa analiza regionalnych różnic w Polsce oraz </w:t>
      </w:r>
      <w:r w:rsidR="00CD1194">
        <w:t>„</w:t>
      </w:r>
      <w:r w:rsidR="00CD1194" w:rsidRPr="00CD1194">
        <w:t>geografii nierówności” w:</w:t>
      </w:r>
      <w:r w:rsidR="00CD1194">
        <w:t xml:space="preserve"> </w:t>
      </w:r>
      <w:r w:rsidRPr="00CD1194">
        <w:t xml:space="preserve">Bouzarovski </w:t>
      </w:r>
      <w:r w:rsidR="00CD1194">
        <w:t>i</w:t>
      </w:r>
      <w:r w:rsidRPr="00CD1194">
        <w:t xml:space="preserve"> Tirado Herrero (2017).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8" w:space="0" w:color="808080" w:themeColor="background1" w:themeShade="80"/>
        <w:bottom w:val="single" w:sz="18" w:space="0" w:color="808080" w:themeColor="background1" w:themeShade="80"/>
      </w:tblBorders>
      <w:tblLook w:val="04A0" w:firstRow="1" w:lastRow="0" w:firstColumn="1" w:lastColumn="0" w:noHBand="0" w:noVBand="1"/>
    </w:tblPr>
    <w:tblGrid>
      <w:gridCol w:w="6343"/>
      <w:gridCol w:w="2682"/>
    </w:tblGrid>
    <w:tr w:rsidR="00BC6FBB" w:rsidRPr="006A0E4B" w14:paraId="47D8F604" w14:textId="77777777" w:rsidTr="00B42DDA">
      <w:trPr>
        <w:trHeight w:val="258"/>
      </w:trPr>
      <w:tc>
        <w:tcPr>
          <w:tcW w:w="3514" w:type="pct"/>
          <w:vAlign w:val="center"/>
        </w:tcPr>
        <w:p w14:paraId="51713D54" w14:textId="38740F6F" w:rsidR="00BC6FBB" w:rsidRPr="006A0E4B" w:rsidRDefault="00BC6FBB" w:rsidP="006A0E4B">
          <w:pPr>
            <w:pStyle w:val="Nagwek"/>
            <w:spacing w:before="120"/>
            <w:rPr>
              <w:color w:val="000000" w:themeColor="text1"/>
              <w:szCs w:val="22"/>
            </w:rPr>
          </w:pPr>
          <w:r>
            <w:rPr>
              <w:noProof/>
            </w:rPr>
            <w:fldChar w:fldCharType="begin"/>
          </w:r>
          <w:r>
            <w:rPr>
              <w:noProof/>
            </w:rPr>
            <w:instrText xml:space="preserve"> STYLEREF  "Nagłówek 11" \t  \* MERGEFORMAT </w:instrText>
          </w:r>
          <w:r>
            <w:rPr>
              <w:noProof/>
            </w:rPr>
            <w:fldChar w:fldCharType="separate"/>
          </w:r>
          <w:r w:rsidR="00F05586">
            <w:rPr>
              <w:noProof/>
            </w:rPr>
            <w:t>Spis treści</w:t>
          </w:r>
          <w:r>
            <w:rPr>
              <w:noProof/>
            </w:rPr>
            <w:fldChar w:fldCharType="end"/>
          </w:r>
        </w:p>
      </w:tc>
      <w:tc>
        <w:tcPr>
          <w:tcW w:w="1486" w:type="pct"/>
          <w:vAlign w:val="center"/>
        </w:tcPr>
        <w:p w14:paraId="004A923E" w14:textId="24AABB94" w:rsidR="00BC6FBB" w:rsidRPr="007E312D" w:rsidRDefault="00BC6FBB" w:rsidP="007E312D">
          <w:pPr>
            <w:spacing w:before="120"/>
            <w:jc w:val="right"/>
            <w:rPr>
              <w:color w:val="000000" w:themeColor="text1"/>
              <w:szCs w:val="22"/>
            </w:rPr>
          </w:pPr>
          <w:r w:rsidRPr="007E312D">
            <w:rPr>
              <w:color w:val="000000" w:themeColor="text1"/>
              <w:szCs w:val="22"/>
            </w:rPr>
            <w:t xml:space="preserve">Strona </w:t>
          </w:r>
          <w:r w:rsidRPr="007E312D">
            <w:rPr>
              <w:color w:val="000000" w:themeColor="text1"/>
              <w:szCs w:val="22"/>
            </w:rPr>
            <w:fldChar w:fldCharType="begin"/>
          </w:r>
          <w:r w:rsidRPr="007E312D">
            <w:rPr>
              <w:color w:val="000000" w:themeColor="text1"/>
              <w:szCs w:val="22"/>
            </w:rPr>
            <w:instrText xml:space="preserve"> PAGE </w:instrText>
          </w:r>
          <w:r w:rsidRPr="007E312D">
            <w:rPr>
              <w:color w:val="000000" w:themeColor="text1"/>
              <w:szCs w:val="22"/>
            </w:rPr>
            <w:fldChar w:fldCharType="separate"/>
          </w:r>
          <w:r w:rsidR="00F05586">
            <w:rPr>
              <w:noProof/>
              <w:color w:val="000000" w:themeColor="text1"/>
              <w:szCs w:val="22"/>
            </w:rPr>
            <w:t>2</w:t>
          </w:r>
          <w:r w:rsidRPr="007E312D">
            <w:rPr>
              <w:color w:val="000000" w:themeColor="text1"/>
              <w:szCs w:val="22"/>
            </w:rPr>
            <w:fldChar w:fldCharType="end"/>
          </w:r>
          <w:r w:rsidRPr="007E312D">
            <w:rPr>
              <w:color w:val="000000" w:themeColor="text1"/>
              <w:szCs w:val="22"/>
            </w:rPr>
            <w:t xml:space="preserve"> z </w:t>
          </w:r>
          <w:r w:rsidRPr="007E312D">
            <w:rPr>
              <w:color w:val="000000" w:themeColor="text1"/>
              <w:szCs w:val="22"/>
            </w:rPr>
            <w:fldChar w:fldCharType="begin"/>
          </w:r>
          <w:r w:rsidRPr="007E312D">
            <w:rPr>
              <w:color w:val="000000" w:themeColor="text1"/>
              <w:szCs w:val="22"/>
            </w:rPr>
            <w:instrText xml:space="preserve"> NUMPAGES  </w:instrText>
          </w:r>
          <w:r w:rsidRPr="007E312D">
            <w:rPr>
              <w:color w:val="000000" w:themeColor="text1"/>
              <w:szCs w:val="22"/>
            </w:rPr>
            <w:fldChar w:fldCharType="separate"/>
          </w:r>
          <w:r w:rsidR="00F05586">
            <w:rPr>
              <w:noProof/>
              <w:color w:val="000000" w:themeColor="text1"/>
              <w:szCs w:val="22"/>
            </w:rPr>
            <w:t>44</w:t>
          </w:r>
          <w:r w:rsidRPr="007E312D">
            <w:rPr>
              <w:color w:val="000000" w:themeColor="text1"/>
              <w:szCs w:val="22"/>
            </w:rPr>
            <w:fldChar w:fldCharType="end"/>
          </w:r>
        </w:p>
      </w:tc>
    </w:tr>
  </w:tbl>
  <w:p w14:paraId="6962D8B6" w14:textId="77777777" w:rsidR="00BC6FBB" w:rsidRPr="006A0E4B" w:rsidRDefault="00BC6FB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8" w:space="0" w:color="808080" w:themeColor="background1" w:themeShade="80"/>
        <w:bottom w:val="single" w:sz="18" w:space="0" w:color="808080" w:themeColor="background1" w:themeShade="80"/>
      </w:tblBorders>
      <w:tblLook w:val="04A0" w:firstRow="1" w:lastRow="0" w:firstColumn="1" w:lastColumn="0" w:noHBand="0" w:noVBand="1"/>
    </w:tblPr>
    <w:tblGrid>
      <w:gridCol w:w="7478"/>
      <w:gridCol w:w="1547"/>
    </w:tblGrid>
    <w:tr w:rsidR="00BC6FBB" w:rsidRPr="006B3E20" w14:paraId="6485E538" w14:textId="77777777" w:rsidTr="002E2F45">
      <w:trPr>
        <w:trHeight w:val="258"/>
      </w:trPr>
      <w:tc>
        <w:tcPr>
          <w:tcW w:w="4143" w:type="pct"/>
          <w:vAlign w:val="center"/>
        </w:tcPr>
        <w:p w14:paraId="5F24A0DB" w14:textId="03ACBB61" w:rsidR="00BC6FBB" w:rsidRPr="006B3E20" w:rsidRDefault="00BC6FBB" w:rsidP="004B35FF">
          <w:pPr>
            <w:pStyle w:val="Nagwek"/>
            <w:spacing w:before="120"/>
            <w:rPr>
              <w:color w:val="000000" w:themeColor="text1"/>
              <w:szCs w:val="22"/>
            </w:rPr>
          </w:pPr>
          <w:r>
            <w:rPr>
              <w:noProof/>
            </w:rPr>
            <w:fldChar w:fldCharType="begin"/>
          </w:r>
          <w:r>
            <w:rPr>
              <w:noProof/>
            </w:rPr>
            <w:instrText xml:space="preserve"> STYLEREF  "Nagłówek 11" \t  \* MERGEFORMAT </w:instrText>
          </w:r>
          <w:r>
            <w:rPr>
              <w:noProof/>
            </w:rPr>
            <w:fldChar w:fldCharType="separate"/>
          </w:r>
          <w:r w:rsidR="00F05586">
            <w:rPr>
              <w:noProof/>
            </w:rPr>
            <w:t>Zastosowanie wskaźników najwyższej jakości</w:t>
          </w:r>
          <w:r>
            <w:rPr>
              <w:noProof/>
            </w:rPr>
            <w:fldChar w:fldCharType="end"/>
          </w:r>
        </w:p>
      </w:tc>
      <w:tc>
        <w:tcPr>
          <w:tcW w:w="857" w:type="pct"/>
          <w:vAlign w:val="center"/>
        </w:tcPr>
        <w:p w14:paraId="1B3BE9D2" w14:textId="2D48B147" w:rsidR="00BC6FBB" w:rsidRPr="007E312D" w:rsidRDefault="00BC6FBB" w:rsidP="007E312D">
          <w:pPr>
            <w:spacing w:before="120"/>
            <w:jc w:val="right"/>
            <w:rPr>
              <w:color w:val="000000" w:themeColor="text1"/>
              <w:szCs w:val="22"/>
            </w:rPr>
          </w:pPr>
          <w:r w:rsidRPr="007E312D">
            <w:rPr>
              <w:color w:val="000000" w:themeColor="text1"/>
              <w:szCs w:val="22"/>
            </w:rPr>
            <w:t xml:space="preserve">Strona </w:t>
          </w:r>
          <w:r w:rsidRPr="007E312D">
            <w:rPr>
              <w:color w:val="000000" w:themeColor="text1"/>
              <w:szCs w:val="22"/>
            </w:rPr>
            <w:fldChar w:fldCharType="begin"/>
          </w:r>
          <w:r w:rsidRPr="007E312D">
            <w:rPr>
              <w:color w:val="000000" w:themeColor="text1"/>
              <w:szCs w:val="22"/>
            </w:rPr>
            <w:instrText xml:space="preserve"> PAGE </w:instrText>
          </w:r>
          <w:r w:rsidRPr="007E312D">
            <w:rPr>
              <w:color w:val="000000" w:themeColor="text1"/>
              <w:szCs w:val="22"/>
            </w:rPr>
            <w:fldChar w:fldCharType="separate"/>
          </w:r>
          <w:r w:rsidR="00F05586">
            <w:rPr>
              <w:noProof/>
              <w:color w:val="000000" w:themeColor="text1"/>
              <w:szCs w:val="22"/>
            </w:rPr>
            <w:t>13</w:t>
          </w:r>
          <w:r w:rsidRPr="007E312D">
            <w:rPr>
              <w:color w:val="000000" w:themeColor="text1"/>
              <w:szCs w:val="22"/>
            </w:rPr>
            <w:fldChar w:fldCharType="end"/>
          </w:r>
          <w:r w:rsidRPr="007E312D">
            <w:rPr>
              <w:color w:val="000000" w:themeColor="text1"/>
              <w:szCs w:val="22"/>
            </w:rPr>
            <w:t xml:space="preserve"> z </w:t>
          </w:r>
          <w:r w:rsidRPr="007E312D">
            <w:rPr>
              <w:color w:val="000000" w:themeColor="text1"/>
              <w:szCs w:val="22"/>
            </w:rPr>
            <w:fldChar w:fldCharType="begin"/>
          </w:r>
          <w:r w:rsidRPr="007E312D">
            <w:rPr>
              <w:color w:val="000000" w:themeColor="text1"/>
              <w:szCs w:val="22"/>
            </w:rPr>
            <w:instrText xml:space="preserve"> NUMPAGES  </w:instrText>
          </w:r>
          <w:r w:rsidRPr="007E312D">
            <w:rPr>
              <w:color w:val="000000" w:themeColor="text1"/>
              <w:szCs w:val="22"/>
            </w:rPr>
            <w:fldChar w:fldCharType="separate"/>
          </w:r>
          <w:r w:rsidR="00F05586">
            <w:rPr>
              <w:noProof/>
              <w:color w:val="000000" w:themeColor="text1"/>
              <w:szCs w:val="22"/>
            </w:rPr>
            <w:t>44</w:t>
          </w:r>
          <w:r w:rsidRPr="007E312D">
            <w:rPr>
              <w:color w:val="000000" w:themeColor="text1"/>
              <w:szCs w:val="22"/>
            </w:rPr>
            <w:fldChar w:fldCharType="end"/>
          </w:r>
          <w:bookmarkStart w:id="22" w:name="_Ref437860346"/>
          <w:bookmarkStart w:id="23" w:name="_Toc517446213"/>
        </w:p>
      </w:tc>
    </w:tr>
    <w:bookmarkEnd w:id="22"/>
    <w:bookmarkEnd w:id="23"/>
  </w:tbl>
  <w:p w14:paraId="7FB77D91" w14:textId="77777777" w:rsidR="00BC6FBB" w:rsidRPr="006B3E20" w:rsidRDefault="00BC6FBB">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300D4C" w14:textId="77777777" w:rsidR="00BC6FBB" w:rsidRPr="00082673" w:rsidRDefault="00BC6FBB" w:rsidP="00082673">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CCAA148A"/>
    <w:lvl w:ilvl="0">
      <w:start w:val="1"/>
      <w:numFmt w:val="bullet"/>
      <w:pStyle w:val="Listapunktowana"/>
      <w:lvlText w:val=""/>
      <w:lvlJc w:val="left"/>
      <w:pPr>
        <w:tabs>
          <w:tab w:val="num" w:pos="1069"/>
        </w:tabs>
        <w:ind w:left="1069" w:hanging="360"/>
      </w:pPr>
      <w:rPr>
        <w:rFonts w:ascii="Wingdings" w:hAnsi="Wingdings" w:hint="default"/>
        <w:b w:val="0"/>
        <w:i/>
        <w:sz w:val="20"/>
      </w:rPr>
    </w:lvl>
  </w:abstractNum>
  <w:abstractNum w:abstractNumId="1" w15:restartNumberingAfterBreak="0">
    <w:nsid w:val="028E31DB"/>
    <w:multiLevelType w:val="hybridMultilevel"/>
    <w:tmpl w:val="D04806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4234F5A"/>
    <w:multiLevelType w:val="hybridMultilevel"/>
    <w:tmpl w:val="A9580CE0"/>
    <w:lvl w:ilvl="0" w:tplc="26340BC0">
      <w:start w:val="1"/>
      <w:numFmt w:val="bullet"/>
      <w:pStyle w:val="EY-lista"/>
      <w:lvlText w:val=""/>
      <w:lvlJc w:val="left"/>
      <w:pPr>
        <w:ind w:left="720" w:hanging="360"/>
      </w:pPr>
      <w:rPr>
        <w:rFonts w:ascii="Wingdings 3" w:hAnsi="Wingdings 3" w:hint="default"/>
        <w:color w:val="FFD20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B3824C3"/>
    <w:multiLevelType w:val="hybridMultilevel"/>
    <w:tmpl w:val="2334FBE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0042B65"/>
    <w:multiLevelType w:val="hybridMultilevel"/>
    <w:tmpl w:val="3D728E1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5A17EDD"/>
    <w:multiLevelType w:val="multilevel"/>
    <w:tmpl w:val="B3AC57F6"/>
    <w:lvl w:ilvl="0">
      <w:start w:val="1"/>
      <w:numFmt w:val="decimal"/>
      <w:lvlText w:val="%1."/>
      <w:lvlJc w:val="left"/>
      <w:pPr>
        <w:ind w:left="360" w:hanging="360"/>
      </w:pPr>
      <w:rPr>
        <w:rFonts w:hint="default"/>
        <w:color w:val="auto"/>
        <w:sz w:val="28"/>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A154DFB"/>
    <w:multiLevelType w:val="hybridMultilevel"/>
    <w:tmpl w:val="99340B0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A2B1AE0"/>
    <w:multiLevelType w:val="multilevel"/>
    <w:tmpl w:val="2836FBA0"/>
    <w:lvl w:ilvl="0">
      <w:start w:val="1"/>
      <w:numFmt w:val="decimal"/>
      <w:pStyle w:val="Nagwek11"/>
      <w:lvlText w:val="%1."/>
      <w:lvlJc w:val="left"/>
      <w:pPr>
        <w:ind w:left="432" w:hanging="432"/>
      </w:pPr>
      <w:rPr>
        <w:rFonts w:hint="default"/>
      </w:r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1146" w:hanging="720"/>
      </w:pPr>
      <w:rPr>
        <w:rFonts w:hint="default"/>
        <w:b/>
      </w:rPr>
    </w:lvl>
    <w:lvl w:ilvl="3">
      <w:start w:val="1"/>
      <w:numFmt w:val="decimal"/>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8" w15:restartNumberingAfterBreak="0">
    <w:nsid w:val="1A957A13"/>
    <w:multiLevelType w:val="hybridMultilevel"/>
    <w:tmpl w:val="FCACEB0E"/>
    <w:lvl w:ilvl="0" w:tplc="04150001">
      <w:start w:val="1"/>
      <w:numFmt w:val="bullet"/>
      <w:pStyle w:val="punkt"/>
      <w:lvlText w:val="-"/>
      <w:lvlJc w:val="left"/>
      <w:pPr>
        <w:tabs>
          <w:tab w:val="num" w:pos="340"/>
        </w:tabs>
        <w:ind w:left="340" w:hanging="340"/>
      </w:pPr>
      <w:rPr>
        <w:rFonts w:ascii="Arial" w:hAnsi="Arial" w:hint="default"/>
        <w:sz w:val="22"/>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01A3BAB"/>
    <w:multiLevelType w:val="hybridMultilevel"/>
    <w:tmpl w:val="A59A757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18E7276"/>
    <w:multiLevelType w:val="hybridMultilevel"/>
    <w:tmpl w:val="22847F4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28E68CD"/>
    <w:multiLevelType w:val="multilevel"/>
    <w:tmpl w:val="E7BCBC4C"/>
    <w:lvl w:ilvl="0">
      <w:start w:val="1"/>
      <w:numFmt w:val="decimal"/>
      <w:pStyle w:val="Style2"/>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3AC39C4"/>
    <w:multiLevelType w:val="multilevel"/>
    <w:tmpl w:val="94A86F6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Arial" w:hAnsi="Arial" w:hint="default"/>
      </w:rPr>
    </w:lvl>
    <w:lvl w:ilvl="2">
      <w:start w:val="1"/>
      <w:numFmt w:val="lowerLetter"/>
      <w:lvlText w:val="%3)"/>
      <w:lvlJc w:val="left"/>
      <w:pPr>
        <w:ind w:left="1080" w:hanging="360"/>
      </w:pPr>
      <w:rPr>
        <w:rFont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 w15:restartNumberingAfterBreak="0">
    <w:nsid w:val="25F97D75"/>
    <w:multiLevelType w:val="hybridMultilevel"/>
    <w:tmpl w:val="0FB0104E"/>
    <w:lvl w:ilvl="0" w:tplc="7388CD34">
      <w:start w:val="1"/>
      <w:numFmt w:val="decimal"/>
      <w:pStyle w:val="NumberedList"/>
      <w:lvlText w:val="%1."/>
      <w:lvlJc w:val="left"/>
      <w:pPr>
        <w:tabs>
          <w:tab w:val="num" w:pos="360"/>
        </w:tabs>
        <w:ind w:left="360" w:hanging="360"/>
      </w:pPr>
      <w:rPr>
        <w:rFonts w:ascii="EYInterstate Light" w:hAnsi="EYInterstate Light" w:hint="default"/>
        <w:b w:val="0"/>
        <w:i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6205A04"/>
    <w:multiLevelType w:val="multilevel"/>
    <w:tmpl w:val="29529248"/>
    <w:lvl w:ilvl="0">
      <w:start w:val="4"/>
      <w:numFmt w:val="decimal"/>
      <w:lvlText w:val="%1."/>
      <w:lvlJc w:val="left"/>
      <w:pPr>
        <w:ind w:left="400" w:hanging="400"/>
      </w:pPr>
      <w:rPr>
        <w:rFonts w:hint="default"/>
      </w:rPr>
    </w:lvl>
    <w:lvl w:ilvl="1">
      <w:start w:val="2"/>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285A4E75"/>
    <w:multiLevelType w:val="multilevel"/>
    <w:tmpl w:val="5B5E8EB8"/>
    <w:lvl w:ilvl="0">
      <w:start w:val="4"/>
      <w:numFmt w:val="decimal"/>
      <w:lvlText w:val="%1."/>
      <w:lvlJc w:val="left"/>
      <w:pPr>
        <w:ind w:left="560" w:hanging="560"/>
      </w:pPr>
      <w:rPr>
        <w:rFonts w:hint="default"/>
      </w:rPr>
    </w:lvl>
    <w:lvl w:ilvl="1">
      <w:start w:val="3"/>
      <w:numFmt w:val="decimal"/>
      <w:lvlText w:val="%1.%2."/>
      <w:lvlJc w:val="left"/>
      <w:pPr>
        <w:ind w:left="900" w:hanging="720"/>
      </w:pPr>
      <w:rPr>
        <w:rFonts w:hint="default"/>
        <w:b/>
      </w:rPr>
    </w:lvl>
    <w:lvl w:ilvl="2">
      <w:start w:val="1"/>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6" w15:restartNumberingAfterBreak="0">
    <w:nsid w:val="2BD42C9E"/>
    <w:multiLevelType w:val="multilevel"/>
    <w:tmpl w:val="9E58445E"/>
    <w:lvl w:ilvl="0">
      <w:start w:val="3"/>
      <w:numFmt w:val="decimal"/>
      <w:lvlText w:val="%1."/>
      <w:lvlJc w:val="left"/>
      <w:pPr>
        <w:ind w:left="400" w:hanging="40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7" w15:restartNumberingAfterBreak="0">
    <w:nsid w:val="2CEE68E3"/>
    <w:multiLevelType w:val="multilevel"/>
    <w:tmpl w:val="952E82A0"/>
    <w:lvl w:ilvl="0">
      <w:start w:val="1"/>
      <w:numFmt w:val="bullet"/>
      <w:pStyle w:val="Bullet"/>
      <w:lvlText w:val="►"/>
      <w:lvlJc w:val="left"/>
      <w:pPr>
        <w:ind w:left="360" w:hanging="360"/>
      </w:pPr>
      <w:rPr>
        <w:rFonts w:ascii="Arial" w:hAnsi="Arial" w:hint="default"/>
      </w:rPr>
    </w:lvl>
    <w:lvl w:ilvl="1">
      <w:start w:val="1"/>
      <w:numFmt w:val="bullet"/>
      <w:lvlText w:val="–"/>
      <w:lvlJc w:val="left"/>
      <w:pPr>
        <w:ind w:left="720" w:hanging="360"/>
      </w:pPr>
      <w:rPr>
        <w:rFonts w:ascii="Arial" w:hAnsi="Arial" w:hint="default"/>
      </w:rPr>
    </w:lvl>
    <w:lvl w:ilvl="2">
      <w:start w:val="1"/>
      <w:numFmt w:val="lowerLetter"/>
      <w:lvlText w:val="%3)"/>
      <w:lvlJc w:val="left"/>
      <w:pPr>
        <w:ind w:left="1080" w:hanging="360"/>
      </w:pPr>
      <w:rPr>
        <w:rFont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8" w15:restartNumberingAfterBreak="0">
    <w:nsid w:val="2CF16470"/>
    <w:multiLevelType w:val="multilevel"/>
    <w:tmpl w:val="DD1E7956"/>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2D4D2299"/>
    <w:multiLevelType w:val="hybridMultilevel"/>
    <w:tmpl w:val="4502AAD2"/>
    <w:lvl w:ilvl="0" w:tplc="3A424D02">
      <w:start w:val="1"/>
      <w:numFmt w:val="decimal"/>
      <w:lvlText w:val="%1)"/>
      <w:lvlJc w:val="left"/>
      <w:pPr>
        <w:ind w:left="644" w:hanging="360"/>
      </w:pPr>
      <w:rPr>
        <w:rFonts w:hint="default"/>
        <w:i w:val="0"/>
        <w:vertAlign w:val="superscrip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20" w15:restartNumberingAfterBreak="0">
    <w:nsid w:val="2D850B2F"/>
    <w:multiLevelType w:val="multilevel"/>
    <w:tmpl w:val="82B03CD4"/>
    <w:lvl w:ilvl="0">
      <w:start w:val="4"/>
      <w:numFmt w:val="decimal"/>
      <w:lvlText w:val="%1."/>
      <w:lvlJc w:val="left"/>
      <w:pPr>
        <w:ind w:left="400" w:hanging="40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30A44562"/>
    <w:multiLevelType w:val="multilevel"/>
    <w:tmpl w:val="1222E954"/>
    <w:lvl w:ilvl="0">
      <w:start w:val="6"/>
      <w:numFmt w:val="decimal"/>
      <w:lvlText w:val="%1."/>
      <w:lvlJc w:val="left"/>
      <w:pPr>
        <w:ind w:left="390" w:hanging="39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319E2F49"/>
    <w:multiLevelType w:val="multilevel"/>
    <w:tmpl w:val="9E58445E"/>
    <w:lvl w:ilvl="0">
      <w:start w:val="3"/>
      <w:numFmt w:val="decimal"/>
      <w:lvlText w:val="%1."/>
      <w:lvlJc w:val="left"/>
      <w:pPr>
        <w:ind w:left="400" w:hanging="40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3" w15:restartNumberingAfterBreak="0">
    <w:nsid w:val="374B66C7"/>
    <w:multiLevelType w:val="hybridMultilevel"/>
    <w:tmpl w:val="CEEA886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389B45DF"/>
    <w:multiLevelType w:val="hybridMultilevel"/>
    <w:tmpl w:val="4E184F72"/>
    <w:lvl w:ilvl="0" w:tplc="2940E1FE">
      <w:start w:val="1"/>
      <w:numFmt w:val="bullet"/>
      <w:pStyle w:val="Bullety"/>
      <w:lvlText w:val="►"/>
      <w:lvlJc w:val="left"/>
      <w:pPr>
        <w:ind w:left="502" w:hanging="360"/>
      </w:pPr>
      <w:rPr>
        <w:rFonts w:ascii="Arial" w:hAnsi="Arial" w:hint="default"/>
        <w:color w:val="FFC000"/>
      </w:rPr>
    </w:lvl>
    <w:lvl w:ilvl="1" w:tplc="314A661E">
      <w:start w:val="1"/>
      <w:numFmt w:val="bullet"/>
      <w:lvlText w:val="o"/>
      <w:lvlJc w:val="left"/>
      <w:pPr>
        <w:ind w:left="1080" w:hanging="360"/>
      </w:pPr>
      <w:rPr>
        <w:rFonts w:ascii="Courier New" w:hAnsi="Courier New" w:cs="Courier New" w:hint="default"/>
      </w:rPr>
    </w:lvl>
    <w:lvl w:ilvl="2" w:tplc="0590D81A">
      <w:start w:val="1"/>
      <w:numFmt w:val="bullet"/>
      <w:lvlText w:val=""/>
      <w:lvlJc w:val="left"/>
      <w:pPr>
        <w:ind w:left="1800" w:hanging="360"/>
      </w:pPr>
      <w:rPr>
        <w:rFonts w:ascii="Wingdings" w:hAnsi="Wingdings" w:hint="default"/>
      </w:rPr>
    </w:lvl>
    <w:lvl w:ilvl="3" w:tplc="D802843C" w:tentative="1">
      <w:start w:val="1"/>
      <w:numFmt w:val="bullet"/>
      <w:lvlText w:val=""/>
      <w:lvlJc w:val="left"/>
      <w:pPr>
        <w:ind w:left="2520" w:hanging="360"/>
      </w:pPr>
      <w:rPr>
        <w:rFonts w:ascii="Symbol" w:hAnsi="Symbol" w:hint="default"/>
      </w:rPr>
    </w:lvl>
    <w:lvl w:ilvl="4" w:tplc="5528788C" w:tentative="1">
      <w:start w:val="1"/>
      <w:numFmt w:val="bullet"/>
      <w:lvlText w:val="o"/>
      <w:lvlJc w:val="left"/>
      <w:pPr>
        <w:ind w:left="3240" w:hanging="360"/>
      </w:pPr>
      <w:rPr>
        <w:rFonts w:ascii="Courier New" w:hAnsi="Courier New" w:cs="Courier New" w:hint="default"/>
      </w:rPr>
    </w:lvl>
    <w:lvl w:ilvl="5" w:tplc="FE6ABB54" w:tentative="1">
      <w:start w:val="1"/>
      <w:numFmt w:val="bullet"/>
      <w:lvlText w:val=""/>
      <w:lvlJc w:val="left"/>
      <w:pPr>
        <w:ind w:left="3960" w:hanging="360"/>
      </w:pPr>
      <w:rPr>
        <w:rFonts w:ascii="Wingdings" w:hAnsi="Wingdings" w:hint="default"/>
      </w:rPr>
    </w:lvl>
    <w:lvl w:ilvl="6" w:tplc="09A6649E" w:tentative="1">
      <w:start w:val="1"/>
      <w:numFmt w:val="bullet"/>
      <w:lvlText w:val=""/>
      <w:lvlJc w:val="left"/>
      <w:pPr>
        <w:ind w:left="4680" w:hanging="360"/>
      </w:pPr>
      <w:rPr>
        <w:rFonts w:ascii="Symbol" w:hAnsi="Symbol" w:hint="default"/>
      </w:rPr>
    </w:lvl>
    <w:lvl w:ilvl="7" w:tplc="6A78E500" w:tentative="1">
      <w:start w:val="1"/>
      <w:numFmt w:val="bullet"/>
      <w:lvlText w:val="o"/>
      <w:lvlJc w:val="left"/>
      <w:pPr>
        <w:ind w:left="5400" w:hanging="360"/>
      </w:pPr>
      <w:rPr>
        <w:rFonts w:ascii="Courier New" w:hAnsi="Courier New" w:cs="Courier New" w:hint="default"/>
      </w:rPr>
    </w:lvl>
    <w:lvl w:ilvl="8" w:tplc="CF72E8B0" w:tentative="1">
      <w:start w:val="1"/>
      <w:numFmt w:val="bullet"/>
      <w:lvlText w:val=""/>
      <w:lvlJc w:val="left"/>
      <w:pPr>
        <w:ind w:left="6120" w:hanging="360"/>
      </w:pPr>
      <w:rPr>
        <w:rFonts w:ascii="Wingdings" w:hAnsi="Wingdings" w:hint="default"/>
      </w:rPr>
    </w:lvl>
  </w:abstractNum>
  <w:abstractNum w:abstractNumId="25" w15:restartNumberingAfterBreak="0">
    <w:nsid w:val="3A3F4ECE"/>
    <w:multiLevelType w:val="hybridMultilevel"/>
    <w:tmpl w:val="E66A24A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CA017FA"/>
    <w:multiLevelType w:val="multilevel"/>
    <w:tmpl w:val="4BF2F95A"/>
    <w:lvl w:ilvl="0">
      <w:start w:val="1"/>
      <w:numFmt w:val="decimal"/>
      <w:pStyle w:val="EYNumber"/>
      <w:lvlText w:val="%1."/>
      <w:lvlJc w:val="left"/>
      <w:pPr>
        <w:tabs>
          <w:tab w:val="num" w:pos="425"/>
        </w:tabs>
        <w:ind w:left="425" w:hanging="425"/>
      </w:pPr>
      <w:rPr>
        <w:rFonts w:hint="default"/>
        <w:b/>
        <w:bCs/>
        <w:color w:val="auto"/>
      </w:rPr>
    </w:lvl>
    <w:lvl w:ilvl="1">
      <w:start w:val="1"/>
      <w:numFmt w:val="lowerLetter"/>
      <w:pStyle w:val="EYNumber"/>
      <w:lvlText w:val="%2."/>
      <w:lvlJc w:val="left"/>
      <w:pPr>
        <w:tabs>
          <w:tab w:val="num" w:pos="851"/>
        </w:tabs>
        <w:ind w:left="851" w:hanging="426"/>
      </w:pPr>
      <w:rPr>
        <w:rFonts w:hint="default"/>
        <w:b w:val="0"/>
        <w:i w:val="0"/>
        <w:color w:val="auto"/>
      </w:rPr>
    </w:lvl>
    <w:lvl w:ilvl="2">
      <w:start w:val="1"/>
      <w:numFmt w:val="lowerRoman"/>
      <w:pStyle w:val="EYLetter"/>
      <w:lvlText w:val="%3"/>
      <w:lvlJc w:val="left"/>
      <w:pPr>
        <w:tabs>
          <w:tab w:val="num" w:pos="1276"/>
        </w:tabs>
        <w:ind w:left="1276" w:hanging="425"/>
      </w:pPr>
      <w:rPr>
        <w:rFonts w:hint="default"/>
        <w:color w:val="auto"/>
      </w:rPr>
    </w:lvl>
    <w:lvl w:ilvl="3">
      <w:start w:val="1"/>
      <w:numFmt w:val="none"/>
      <w:lvlText w:val=""/>
      <w:lvlJc w:val="left"/>
      <w:pPr>
        <w:tabs>
          <w:tab w:val="num" w:pos="1440"/>
        </w:tabs>
        <w:ind w:left="1440" w:firstLine="0"/>
      </w:pPr>
      <w:rPr>
        <w:rFonts w:hint="default"/>
      </w:rPr>
    </w:lvl>
    <w:lvl w:ilvl="4">
      <w:start w:val="1"/>
      <w:numFmt w:val="none"/>
      <w:lvlText w:val=""/>
      <w:lvlJc w:val="left"/>
      <w:pPr>
        <w:tabs>
          <w:tab w:val="num" w:pos="4680"/>
        </w:tabs>
        <w:ind w:left="3672" w:hanging="792"/>
      </w:pPr>
      <w:rPr>
        <w:rFonts w:hint="default"/>
      </w:rPr>
    </w:lvl>
    <w:lvl w:ilvl="5">
      <w:start w:val="1"/>
      <w:numFmt w:val="none"/>
      <w:lvlText w:val=""/>
      <w:lvlJc w:val="left"/>
      <w:pPr>
        <w:tabs>
          <w:tab w:val="num" w:pos="5400"/>
        </w:tabs>
        <w:ind w:left="4176" w:hanging="936"/>
      </w:pPr>
      <w:rPr>
        <w:rFonts w:hint="default"/>
      </w:rPr>
    </w:lvl>
    <w:lvl w:ilvl="6">
      <w:start w:val="1"/>
      <w:numFmt w:val="none"/>
      <w:lvlText w:val=""/>
      <w:lvlJc w:val="left"/>
      <w:pPr>
        <w:tabs>
          <w:tab w:val="num" w:pos="6120"/>
        </w:tabs>
        <w:ind w:left="4680" w:hanging="1080"/>
      </w:pPr>
      <w:rPr>
        <w:rFonts w:hint="default"/>
      </w:rPr>
    </w:lvl>
    <w:lvl w:ilvl="7">
      <w:start w:val="1"/>
      <w:numFmt w:val="none"/>
      <w:lvlText w:val=""/>
      <w:lvlJc w:val="left"/>
      <w:pPr>
        <w:tabs>
          <w:tab w:val="num" w:pos="6840"/>
        </w:tabs>
        <w:ind w:left="5184" w:hanging="1224"/>
      </w:pPr>
      <w:rPr>
        <w:rFonts w:hint="default"/>
      </w:rPr>
    </w:lvl>
    <w:lvl w:ilvl="8">
      <w:start w:val="1"/>
      <w:numFmt w:val="none"/>
      <w:lvlText w:val=""/>
      <w:lvlJc w:val="left"/>
      <w:pPr>
        <w:tabs>
          <w:tab w:val="num" w:pos="7200"/>
        </w:tabs>
        <w:ind w:left="5760" w:hanging="1440"/>
      </w:pPr>
      <w:rPr>
        <w:rFonts w:hint="default"/>
      </w:rPr>
    </w:lvl>
  </w:abstractNum>
  <w:abstractNum w:abstractNumId="27" w15:restartNumberingAfterBreak="0">
    <w:nsid w:val="3E143F13"/>
    <w:multiLevelType w:val="multilevel"/>
    <w:tmpl w:val="2A52FE44"/>
    <w:lvl w:ilvl="0">
      <w:start w:val="1"/>
      <w:numFmt w:val="none"/>
      <w:pStyle w:val="CMSHeadL1"/>
      <w:suff w:val="nothing"/>
      <w:lvlText w:val=""/>
      <w:lvlJc w:val="left"/>
      <w:pPr>
        <w:ind w:left="0" w:firstLine="0"/>
      </w:pPr>
      <w:rPr>
        <w:rFonts w:hint="default"/>
      </w:rPr>
    </w:lvl>
    <w:lvl w:ilvl="1">
      <w:start w:val="1"/>
      <w:numFmt w:val="decimal"/>
      <w:pStyle w:val="CMSHeadL2"/>
      <w:lvlText w:val="%2."/>
      <w:lvlJc w:val="left"/>
      <w:pPr>
        <w:tabs>
          <w:tab w:val="num" w:pos="850"/>
        </w:tabs>
        <w:ind w:left="850" w:hanging="850"/>
      </w:pPr>
      <w:rPr>
        <w:rFonts w:hint="default"/>
      </w:rPr>
    </w:lvl>
    <w:lvl w:ilvl="2">
      <w:start w:val="1"/>
      <w:numFmt w:val="decimal"/>
      <w:pStyle w:val="CMSHeadL3"/>
      <w:lvlText w:val="(%3)"/>
      <w:lvlJc w:val="left"/>
      <w:pPr>
        <w:tabs>
          <w:tab w:val="num" w:pos="850"/>
        </w:tabs>
        <w:ind w:left="850" w:hanging="850"/>
      </w:pPr>
      <w:rPr>
        <w:rFonts w:ascii="Arial" w:eastAsia="Times New Roman" w:hAnsi="Arial" w:cs="Arial"/>
      </w:rPr>
    </w:lvl>
    <w:lvl w:ilvl="3">
      <w:start w:val="1"/>
      <w:numFmt w:val="decimal"/>
      <w:pStyle w:val="CMSHeadL4"/>
      <w:lvlText w:val="%2.%3.%4"/>
      <w:lvlJc w:val="left"/>
      <w:pPr>
        <w:tabs>
          <w:tab w:val="num" w:pos="1701"/>
        </w:tabs>
        <w:ind w:left="1701" w:hanging="851"/>
      </w:pPr>
      <w:rPr>
        <w:rFonts w:hint="default"/>
      </w:rPr>
    </w:lvl>
    <w:lvl w:ilvl="4">
      <w:start w:val="1"/>
      <w:numFmt w:val="lowerLetter"/>
      <w:pStyle w:val="CMSHeadL5"/>
      <w:lvlText w:val="(%5)"/>
      <w:lvlJc w:val="left"/>
      <w:pPr>
        <w:tabs>
          <w:tab w:val="num" w:pos="2551"/>
        </w:tabs>
        <w:ind w:left="2551" w:hanging="850"/>
      </w:pPr>
      <w:rPr>
        <w:rFonts w:hint="default"/>
      </w:rPr>
    </w:lvl>
    <w:lvl w:ilvl="5">
      <w:start w:val="1"/>
      <w:numFmt w:val="lowerRoman"/>
      <w:pStyle w:val="CMSHeadL6"/>
      <w:lvlText w:val="(%6)"/>
      <w:lvlJc w:val="left"/>
      <w:pPr>
        <w:tabs>
          <w:tab w:val="num" w:pos="3402"/>
        </w:tabs>
        <w:ind w:left="3402" w:hanging="851"/>
      </w:pPr>
      <w:rPr>
        <w:rFonts w:hint="default"/>
      </w:rPr>
    </w:lvl>
    <w:lvl w:ilvl="6">
      <w:start w:val="1"/>
      <w:numFmt w:val="none"/>
      <w:pStyle w:val="CMSHeadL7"/>
      <w:suff w:val="nothing"/>
      <w:lvlText w:val=""/>
      <w:lvlJc w:val="left"/>
      <w:pPr>
        <w:ind w:left="851" w:firstLine="0"/>
      </w:pPr>
      <w:rPr>
        <w:rFonts w:hint="default"/>
      </w:rPr>
    </w:lvl>
    <w:lvl w:ilvl="7">
      <w:start w:val="1"/>
      <w:numFmt w:val="lowerLetter"/>
      <w:pStyle w:val="CMSHeadL8"/>
      <w:lvlText w:val="(%8)"/>
      <w:lvlJc w:val="left"/>
      <w:pPr>
        <w:tabs>
          <w:tab w:val="num" w:pos="1750"/>
        </w:tabs>
        <w:ind w:left="1750" w:hanging="850"/>
      </w:pPr>
      <w:rPr>
        <w:rFonts w:hint="default"/>
      </w:rPr>
    </w:lvl>
    <w:lvl w:ilvl="8">
      <w:start w:val="1"/>
      <w:numFmt w:val="lowerRoman"/>
      <w:pStyle w:val="CMSHeadL9"/>
      <w:lvlText w:val="(%9)"/>
      <w:lvlJc w:val="left"/>
      <w:pPr>
        <w:tabs>
          <w:tab w:val="num" w:pos="2552"/>
        </w:tabs>
        <w:ind w:left="2552" w:hanging="851"/>
      </w:pPr>
      <w:rPr>
        <w:rFonts w:hint="default"/>
      </w:rPr>
    </w:lvl>
  </w:abstractNum>
  <w:abstractNum w:abstractNumId="28" w15:restartNumberingAfterBreak="0">
    <w:nsid w:val="45034D82"/>
    <w:multiLevelType w:val="hybridMultilevel"/>
    <w:tmpl w:val="1318F4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4531232B"/>
    <w:multiLevelType w:val="hybridMultilevel"/>
    <w:tmpl w:val="0FA478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57D124F"/>
    <w:multiLevelType w:val="hybridMultilevel"/>
    <w:tmpl w:val="58C277EC"/>
    <w:lvl w:ilvl="0" w:tplc="40789FF0">
      <w:start w:val="3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4A33588A"/>
    <w:multiLevelType w:val="hybridMultilevel"/>
    <w:tmpl w:val="C2DAB27C"/>
    <w:lvl w:ilvl="0" w:tplc="0415000F">
      <w:start w:val="1"/>
      <w:numFmt w:val="bullet"/>
      <w:pStyle w:val="BulletEY"/>
      <w:lvlText w:val=""/>
      <w:lvlJc w:val="left"/>
      <w:pPr>
        <w:ind w:left="502" w:hanging="360"/>
      </w:pPr>
      <w:rPr>
        <w:rFonts w:ascii="Wingdings 3" w:hAnsi="Wingdings 3" w:cs="EY Gothic Cond Medium" w:hint="default"/>
        <w:color w:val="FFD200"/>
      </w:rPr>
    </w:lvl>
    <w:lvl w:ilvl="1" w:tplc="0415000F">
      <w:start w:val="1"/>
      <w:numFmt w:val="bullet"/>
      <w:lvlText w:val=""/>
      <w:lvlJc w:val="left"/>
      <w:pPr>
        <w:ind w:left="1080" w:hanging="360"/>
      </w:pPr>
      <w:rPr>
        <w:rFonts w:ascii="Wingdings 3" w:hAnsi="Wingdings 3" w:hint="default"/>
        <w:color w:val="FFD200"/>
      </w:rPr>
    </w:lvl>
    <w:lvl w:ilvl="2" w:tplc="0415001B" w:tentative="1">
      <w:start w:val="1"/>
      <w:numFmt w:val="bullet"/>
      <w:lvlText w:val=""/>
      <w:lvlJc w:val="left"/>
      <w:pPr>
        <w:ind w:left="1800" w:hanging="360"/>
      </w:pPr>
      <w:rPr>
        <w:rFonts w:ascii="Wingdings" w:hAnsi="Wingdings" w:hint="default"/>
      </w:rPr>
    </w:lvl>
    <w:lvl w:ilvl="3" w:tplc="0415000F" w:tentative="1">
      <w:start w:val="1"/>
      <w:numFmt w:val="bullet"/>
      <w:lvlText w:val=""/>
      <w:lvlJc w:val="left"/>
      <w:pPr>
        <w:ind w:left="2520" w:hanging="360"/>
      </w:pPr>
      <w:rPr>
        <w:rFonts w:ascii="Symbol" w:hAnsi="Symbol" w:hint="default"/>
      </w:rPr>
    </w:lvl>
    <w:lvl w:ilvl="4" w:tplc="04150019" w:tentative="1">
      <w:start w:val="1"/>
      <w:numFmt w:val="bullet"/>
      <w:lvlText w:val="o"/>
      <w:lvlJc w:val="left"/>
      <w:pPr>
        <w:ind w:left="3240" w:hanging="360"/>
      </w:pPr>
      <w:rPr>
        <w:rFonts w:ascii="Courier New" w:hAnsi="Courier New" w:cs="Courier New" w:hint="default"/>
      </w:rPr>
    </w:lvl>
    <w:lvl w:ilvl="5" w:tplc="0415001B" w:tentative="1">
      <w:start w:val="1"/>
      <w:numFmt w:val="bullet"/>
      <w:lvlText w:val=""/>
      <w:lvlJc w:val="left"/>
      <w:pPr>
        <w:ind w:left="3960" w:hanging="360"/>
      </w:pPr>
      <w:rPr>
        <w:rFonts w:ascii="Wingdings" w:hAnsi="Wingdings" w:hint="default"/>
      </w:rPr>
    </w:lvl>
    <w:lvl w:ilvl="6" w:tplc="0415000F" w:tentative="1">
      <w:start w:val="1"/>
      <w:numFmt w:val="bullet"/>
      <w:lvlText w:val=""/>
      <w:lvlJc w:val="left"/>
      <w:pPr>
        <w:ind w:left="4680" w:hanging="360"/>
      </w:pPr>
      <w:rPr>
        <w:rFonts w:ascii="Symbol" w:hAnsi="Symbol" w:hint="default"/>
      </w:rPr>
    </w:lvl>
    <w:lvl w:ilvl="7" w:tplc="04150019" w:tentative="1">
      <w:start w:val="1"/>
      <w:numFmt w:val="bullet"/>
      <w:lvlText w:val="o"/>
      <w:lvlJc w:val="left"/>
      <w:pPr>
        <w:ind w:left="5400" w:hanging="360"/>
      </w:pPr>
      <w:rPr>
        <w:rFonts w:ascii="Courier New" w:hAnsi="Courier New" w:cs="Courier New" w:hint="default"/>
      </w:rPr>
    </w:lvl>
    <w:lvl w:ilvl="8" w:tplc="0415001B" w:tentative="1">
      <w:start w:val="1"/>
      <w:numFmt w:val="bullet"/>
      <w:lvlText w:val=""/>
      <w:lvlJc w:val="left"/>
      <w:pPr>
        <w:ind w:left="6120" w:hanging="360"/>
      </w:pPr>
      <w:rPr>
        <w:rFonts w:ascii="Wingdings" w:hAnsi="Wingdings" w:hint="default"/>
      </w:rPr>
    </w:lvl>
  </w:abstractNum>
  <w:abstractNum w:abstractNumId="32" w15:restartNumberingAfterBreak="0">
    <w:nsid w:val="51B71757"/>
    <w:multiLevelType w:val="multilevel"/>
    <w:tmpl w:val="892A9DFA"/>
    <w:lvl w:ilvl="0">
      <w:start w:val="1"/>
      <w:numFmt w:val="decimal"/>
      <w:pStyle w:val="Nagwek1"/>
      <w:lvlText w:val="%1."/>
      <w:lvlJc w:val="left"/>
      <w:pPr>
        <w:ind w:left="720" w:hanging="360"/>
      </w:pPr>
      <w:rPr>
        <w:rFonts w:hint="default"/>
        <w:sz w:val="28"/>
      </w:r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5A874282"/>
    <w:multiLevelType w:val="hybridMultilevel"/>
    <w:tmpl w:val="249AAF7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64A1344F"/>
    <w:multiLevelType w:val="hybridMultilevel"/>
    <w:tmpl w:val="E5E87666"/>
    <w:lvl w:ilvl="0" w:tplc="05A4DD3C">
      <w:start w:val="1"/>
      <w:numFmt w:val="bullet"/>
      <w:pStyle w:val="body-bullet"/>
      <w:lvlText w:val="►"/>
      <w:lvlJc w:val="left"/>
      <w:pPr>
        <w:tabs>
          <w:tab w:val="num" w:pos="720"/>
        </w:tabs>
        <w:ind w:left="720" w:hanging="360"/>
      </w:pPr>
      <w:rPr>
        <w:rFonts w:ascii="Arial" w:hAnsi="Arial" w:hint="default"/>
        <w:sz w:val="22"/>
      </w:rPr>
    </w:lvl>
    <w:lvl w:ilvl="1" w:tplc="04150003">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651C3ACB"/>
    <w:multiLevelType w:val="hybridMultilevel"/>
    <w:tmpl w:val="6F66281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6B305C69"/>
    <w:multiLevelType w:val="hybridMultilevel"/>
    <w:tmpl w:val="03A6619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6FA720F8"/>
    <w:multiLevelType w:val="hybridMultilevel"/>
    <w:tmpl w:val="F2A6540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72A4528B"/>
    <w:multiLevelType w:val="multilevel"/>
    <w:tmpl w:val="EA60ED4E"/>
    <w:lvl w:ilvl="0">
      <w:start w:val="5"/>
      <w:numFmt w:val="decimal"/>
      <w:lvlText w:val="%1."/>
      <w:lvlJc w:val="left"/>
      <w:pPr>
        <w:ind w:left="540" w:hanging="540"/>
      </w:pPr>
      <w:rPr>
        <w:rFonts w:hint="default"/>
      </w:rPr>
    </w:lvl>
    <w:lvl w:ilvl="1">
      <w:start w:val="1"/>
      <w:numFmt w:val="decimal"/>
      <w:lvlText w:val="%1.%2."/>
      <w:lvlJc w:val="left"/>
      <w:pPr>
        <w:ind w:left="933" w:hanging="72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1719" w:hanging="108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505" w:hanging="144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3291" w:hanging="1800"/>
      </w:pPr>
      <w:rPr>
        <w:rFonts w:hint="default"/>
      </w:rPr>
    </w:lvl>
    <w:lvl w:ilvl="8">
      <w:start w:val="1"/>
      <w:numFmt w:val="decimal"/>
      <w:lvlText w:val="%1.%2.%3.%4.%5.%6.%7.%8.%9."/>
      <w:lvlJc w:val="left"/>
      <w:pPr>
        <w:ind w:left="3504" w:hanging="1800"/>
      </w:pPr>
      <w:rPr>
        <w:rFonts w:hint="default"/>
      </w:rPr>
    </w:lvl>
  </w:abstractNum>
  <w:num w:numId="1">
    <w:abstractNumId w:val="24"/>
  </w:num>
  <w:num w:numId="2">
    <w:abstractNumId w:val="7"/>
  </w:num>
  <w:num w:numId="3">
    <w:abstractNumId w:val="17"/>
  </w:num>
  <w:num w:numId="4">
    <w:abstractNumId w:val="8"/>
  </w:num>
  <w:num w:numId="5">
    <w:abstractNumId w:val="26"/>
  </w:num>
  <w:num w:numId="6">
    <w:abstractNumId w:val="0"/>
  </w:num>
  <w:num w:numId="7">
    <w:abstractNumId w:val="34"/>
  </w:num>
  <w:num w:numId="8">
    <w:abstractNumId w:val="27"/>
  </w:num>
  <w:num w:numId="9">
    <w:abstractNumId w:val="12"/>
  </w:num>
  <w:num w:numId="10">
    <w:abstractNumId w:val="31"/>
  </w:num>
  <w:num w:numId="11">
    <w:abstractNumId w:val="2"/>
  </w:num>
  <w:num w:numId="12">
    <w:abstractNumId w:val="19"/>
  </w:num>
  <w:num w:numId="13">
    <w:abstractNumId w:val="24"/>
  </w:num>
  <w:num w:numId="14">
    <w:abstractNumId w:val="5"/>
  </w:num>
  <w:num w:numId="15">
    <w:abstractNumId w:val="11"/>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7"/>
  </w:num>
  <w:num w:numId="18">
    <w:abstractNumId w:val="17"/>
  </w:num>
  <w:num w:numId="19">
    <w:abstractNumId w:val="10"/>
  </w:num>
  <w:num w:numId="20">
    <w:abstractNumId w:val="36"/>
  </w:num>
  <w:num w:numId="21">
    <w:abstractNumId w:val="3"/>
  </w:num>
  <w:num w:numId="22">
    <w:abstractNumId w:val="6"/>
  </w:num>
  <w:num w:numId="23">
    <w:abstractNumId w:val="35"/>
  </w:num>
  <w:num w:numId="24">
    <w:abstractNumId w:val="9"/>
  </w:num>
  <w:num w:numId="25">
    <w:abstractNumId w:val="7"/>
  </w:num>
  <w:num w:numId="26">
    <w:abstractNumId w:val="13"/>
  </w:num>
  <w:num w:numId="27">
    <w:abstractNumId w:val="4"/>
  </w:num>
  <w:num w:numId="28">
    <w:abstractNumId w:val="23"/>
  </w:num>
  <w:num w:numId="29">
    <w:abstractNumId w:val="25"/>
  </w:num>
  <w:num w:numId="30">
    <w:abstractNumId w:val="1"/>
  </w:num>
  <w:num w:numId="31">
    <w:abstractNumId w:val="29"/>
  </w:num>
  <w:num w:numId="32">
    <w:abstractNumId w:val="37"/>
  </w:num>
  <w:num w:numId="33">
    <w:abstractNumId w:val="32"/>
  </w:num>
  <w:num w:numId="34">
    <w:abstractNumId w:val="33"/>
  </w:num>
  <w:num w:numId="35">
    <w:abstractNumId w:val="28"/>
  </w:num>
  <w:num w:numId="36">
    <w:abstractNumId w:val="32"/>
    <w:lvlOverride w:ilvl="0">
      <w:startOverride w:val="4"/>
    </w:lvlOverride>
    <w:lvlOverride w:ilvl="1">
      <w:startOverride w:val="2"/>
    </w:lvlOverride>
  </w:num>
  <w:num w:numId="37">
    <w:abstractNumId w:val="32"/>
    <w:lvlOverride w:ilvl="0">
      <w:startOverride w:val="2"/>
    </w:lvlOverride>
    <w:lvlOverride w:ilvl="1">
      <w:startOverride w:val="1"/>
    </w:lvlOverride>
  </w:num>
  <w:num w:numId="38">
    <w:abstractNumId w:val="15"/>
  </w:num>
  <w:num w:numId="39">
    <w:abstractNumId w:val="22"/>
  </w:num>
  <w:num w:numId="40">
    <w:abstractNumId w:val="16"/>
  </w:num>
  <w:num w:numId="41">
    <w:abstractNumId w:val="20"/>
  </w:num>
  <w:num w:numId="42">
    <w:abstractNumId w:val="38"/>
  </w:num>
  <w:num w:numId="43">
    <w:abstractNumId w:val="14"/>
  </w:num>
  <w:num w:numId="44">
    <w:abstractNumId w:val="18"/>
  </w:num>
  <w:num w:numId="45">
    <w:abstractNumId w:val="21"/>
  </w:num>
  <w:num w:numId="46">
    <w:abstractNumId w:val="3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6" w:nlCheck="1" w:checkStyle="0"/>
  <w:activeWritingStyle w:appName="MSWord" w:lang="en-GB" w:vendorID="64" w:dllVersion="6" w:nlCheck="1" w:checkStyle="1"/>
  <w:activeWritingStyle w:appName="MSWord" w:lang="fr-FR"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pl-PL" w:vendorID="64" w:dllVersion="4096" w:nlCheck="1" w:checkStyle="0"/>
  <w:activeWritingStyle w:appName="MSWord" w:lang="en-GB" w:vendorID="64" w:dllVersion="131078" w:nlCheck="1" w:checkStyle="0"/>
  <w:activeWritingStyle w:appName="MSWord" w:lang="en-US" w:vendorID="64" w:dllVersion="131078" w:nlCheck="1" w:checkStyle="0"/>
  <w:activeWritingStyle w:appName="MSWord" w:lang="pl-PL" w:vendorID="12"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lickAndTypeStyle w:val="Tytu"/>
  <w:defaultTableStyle w:val="Nagwek9Znak"/>
  <w:drawingGridHorizontalSpacing w:val="90"/>
  <w:drawingGridVerticalSpacing w:val="187"/>
  <w:displayHorizontalDrawingGridEvery w:val="2"/>
  <w:displayVertic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1E28"/>
    <w:rsid w:val="000000A7"/>
    <w:rsid w:val="000003C8"/>
    <w:rsid w:val="000003D4"/>
    <w:rsid w:val="00000463"/>
    <w:rsid w:val="000004FB"/>
    <w:rsid w:val="00000562"/>
    <w:rsid w:val="000007A9"/>
    <w:rsid w:val="00000889"/>
    <w:rsid w:val="00000947"/>
    <w:rsid w:val="000011CA"/>
    <w:rsid w:val="0000155B"/>
    <w:rsid w:val="00001746"/>
    <w:rsid w:val="000018E9"/>
    <w:rsid w:val="00001991"/>
    <w:rsid w:val="00001B26"/>
    <w:rsid w:val="00001DA4"/>
    <w:rsid w:val="000020F7"/>
    <w:rsid w:val="000024F7"/>
    <w:rsid w:val="0000253A"/>
    <w:rsid w:val="00002597"/>
    <w:rsid w:val="00002AC1"/>
    <w:rsid w:val="00002C4E"/>
    <w:rsid w:val="00003030"/>
    <w:rsid w:val="00003982"/>
    <w:rsid w:val="00003C2B"/>
    <w:rsid w:val="00003CD0"/>
    <w:rsid w:val="00004B8E"/>
    <w:rsid w:val="00004EBA"/>
    <w:rsid w:val="00005370"/>
    <w:rsid w:val="000053A1"/>
    <w:rsid w:val="000055C3"/>
    <w:rsid w:val="00005728"/>
    <w:rsid w:val="00005A69"/>
    <w:rsid w:val="00006208"/>
    <w:rsid w:val="000065A4"/>
    <w:rsid w:val="00006D9E"/>
    <w:rsid w:val="00006EF5"/>
    <w:rsid w:val="0000727C"/>
    <w:rsid w:val="0000737A"/>
    <w:rsid w:val="000079A3"/>
    <w:rsid w:val="00007AF9"/>
    <w:rsid w:val="00010273"/>
    <w:rsid w:val="0001072E"/>
    <w:rsid w:val="000107C7"/>
    <w:rsid w:val="0001092C"/>
    <w:rsid w:val="00010EC4"/>
    <w:rsid w:val="000110A2"/>
    <w:rsid w:val="00011269"/>
    <w:rsid w:val="0001142D"/>
    <w:rsid w:val="000114BD"/>
    <w:rsid w:val="000115AC"/>
    <w:rsid w:val="00011705"/>
    <w:rsid w:val="000119B7"/>
    <w:rsid w:val="00011DE7"/>
    <w:rsid w:val="00011E14"/>
    <w:rsid w:val="0001238E"/>
    <w:rsid w:val="000123D6"/>
    <w:rsid w:val="00012559"/>
    <w:rsid w:val="00012A5A"/>
    <w:rsid w:val="00012A5F"/>
    <w:rsid w:val="00012F0C"/>
    <w:rsid w:val="00012F98"/>
    <w:rsid w:val="00013108"/>
    <w:rsid w:val="0001336E"/>
    <w:rsid w:val="000134A1"/>
    <w:rsid w:val="000135E7"/>
    <w:rsid w:val="00014138"/>
    <w:rsid w:val="000146BB"/>
    <w:rsid w:val="00014765"/>
    <w:rsid w:val="000148DB"/>
    <w:rsid w:val="000149EF"/>
    <w:rsid w:val="00014E23"/>
    <w:rsid w:val="00014F4B"/>
    <w:rsid w:val="0001506D"/>
    <w:rsid w:val="00015669"/>
    <w:rsid w:val="000158A2"/>
    <w:rsid w:val="00015983"/>
    <w:rsid w:val="00015B8D"/>
    <w:rsid w:val="00015C4F"/>
    <w:rsid w:val="00015F3B"/>
    <w:rsid w:val="000162F6"/>
    <w:rsid w:val="00016433"/>
    <w:rsid w:val="0001664D"/>
    <w:rsid w:val="000168FB"/>
    <w:rsid w:val="00017138"/>
    <w:rsid w:val="00017292"/>
    <w:rsid w:val="000174C5"/>
    <w:rsid w:val="00017AD4"/>
    <w:rsid w:val="00017CFF"/>
    <w:rsid w:val="00017D3A"/>
    <w:rsid w:val="00020047"/>
    <w:rsid w:val="000204C8"/>
    <w:rsid w:val="0002081A"/>
    <w:rsid w:val="00020A0E"/>
    <w:rsid w:val="00020C37"/>
    <w:rsid w:val="00020DB6"/>
    <w:rsid w:val="00020EA5"/>
    <w:rsid w:val="00020FC6"/>
    <w:rsid w:val="000215FA"/>
    <w:rsid w:val="0002175C"/>
    <w:rsid w:val="00021B07"/>
    <w:rsid w:val="00021DA0"/>
    <w:rsid w:val="00022692"/>
    <w:rsid w:val="000227A9"/>
    <w:rsid w:val="00022959"/>
    <w:rsid w:val="00022B02"/>
    <w:rsid w:val="00022FB9"/>
    <w:rsid w:val="000230C8"/>
    <w:rsid w:val="000233D5"/>
    <w:rsid w:val="00023515"/>
    <w:rsid w:val="00023544"/>
    <w:rsid w:val="00023DB6"/>
    <w:rsid w:val="00023ECB"/>
    <w:rsid w:val="00023FDE"/>
    <w:rsid w:val="000243F2"/>
    <w:rsid w:val="00024444"/>
    <w:rsid w:val="00024A80"/>
    <w:rsid w:val="00024C7D"/>
    <w:rsid w:val="00024FEE"/>
    <w:rsid w:val="00025178"/>
    <w:rsid w:val="0002547D"/>
    <w:rsid w:val="00025C5B"/>
    <w:rsid w:val="0002656C"/>
    <w:rsid w:val="00026D13"/>
    <w:rsid w:val="00026E29"/>
    <w:rsid w:val="00027708"/>
    <w:rsid w:val="0002794B"/>
    <w:rsid w:val="00027CFE"/>
    <w:rsid w:val="00030505"/>
    <w:rsid w:val="00030F45"/>
    <w:rsid w:val="00031841"/>
    <w:rsid w:val="0003234D"/>
    <w:rsid w:val="0003257C"/>
    <w:rsid w:val="000325F2"/>
    <w:rsid w:val="00032AD0"/>
    <w:rsid w:val="00032F6C"/>
    <w:rsid w:val="0003300D"/>
    <w:rsid w:val="0003301E"/>
    <w:rsid w:val="0003317A"/>
    <w:rsid w:val="000334F7"/>
    <w:rsid w:val="000338B8"/>
    <w:rsid w:val="00033923"/>
    <w:rsid w:val="000339F7"/>
    <w:rsid w:val="00033CAA"/>
    <w:rsid w:val="000341DF"/>
    <w:rsid w:val="00034353"/>
    <w:rsid w:val="0003469B"/>
    <w:rsid w:val="00034A2D"/>
    <w:rsid w:val="00034D13"/>
    <w:rsid w:val="00034FBA"/>
    <w:rsid w:val="000350D0"/>
    <w:rsid w:val="000351DC"/>
    <w:rsid w:val="0003526A"/>
    <w:rsid w:val="000357D4"/>
    <w:rsid w:val="00035B2E"/>
    <w:rsid w:val="00035B40"/>
    <w:rsid w:val="00035D2E"/>
    <w:rsid w:val="00035DA1"/>
    <w:rsid w:val="000361D9"/>
    <w:rsid w:val="00036206"/>
    <w:rsid w:val="0003652A"/>
    <w:rsid w:val="000365D4"/>
    <w:rsid w:val="00036635"/>
    <w:rsid w:val="00036C29"/>
    <w:rsid w:val="00036D52"/>
    <w:rsid w:val="00036F13"/>
    <w:rsid w:val="00037076"/>
    <w:rsid w:val="000377DB"/>
    <w:rsid w:val="00037B09"/>
    <w:rsid w:val="00037BD6"/>
    <w:rsid w:val="00037E1B"/>
    <w:rsid w:val="00037E5A"/>
    <w:rsid w:val="00037F07"/>
    <w:rsid w:val="00040108"/>
    <w:rsid w:val="000404BE"/>
    <w:rsid w:val="00040C30"/>
    <w:rsid w:val="00040C98"/>
    <w:rsid w:val="00040D48"/>
    <w:rsid w:val="00041026"/>
    <w:rsid w:val="000411F2"/>
    <w:rsid w:val="0004121B"/>
    <w:rsid w:val="000414B8"/>
    <w:rsid w:val="0004241B"/>
    <w:rsid w:val="000427C5"/>
    <w:rsid w:val="000428C7"/>
    <w:rsid w:val="000429A6"/>
    <w:rsid w:val="00042BAE"/>
    <w:rsid w:val="00042D56"/>
    <w:rsid w:val="0004312B"/>
    <w:rsid w:val="00043DAE"/>
    <w:rsid w:val="00043DBF"/>
    <w:rsid w:val="00043E47"/>
    <w:rsid w:val="00043ED6"/>
    <w:rsid w:val="0004405B"/>
    <w:rsid w:val="00044146"/>
    <w:rsid w:val="0004434B"/>
    <w:rsid w:val="00044366"/>
    <w:rsid w:val="000443C8"/>
    <w:rsid w:val="000443CD"/>
    <w:rsid w:val="00044BD2"/>
    <w:rsid w:val="00044C94"/>
    <w:rsid w:val="00044F3C"/>
    <w:rsid w:val="0004530E"/>
    <w:rsid w:val="00045438"/>
    <w:rsid w:val="00045668"/>
    <w:rsid w:val="0004574D"/>
    <w:rsid w:val="00045B3B"/>
    <w:rsid w:val="00045BB3"/>
    <w:rsid w:val="0004613F"/>
    <w:rsid w:val="00046284"/>
    <w:rsid w:val="00046D25"/>
    <w:rsid w:val="00047182"/>
    <w:rsid w:val="000472E3"/>
    <w:rsid w:val="000472F6"/>
    <w:rsid w:val="00047509"/>
    <w:rsid w:val="000477A4"/>
    <w:rsid w:val="00047BA4"/>
    <w:rsid w:val="000507BE"/>
    <w:rsid w:val="00050B6A"/>
    <w:rsid w:val="00051557"/>
    <w:rsid w:val="00051930"/>
    <w:rsid w:val="00052077"/>
    <w:rsid w:val="00052FE4"/>
    <w:rsid w:val="00053010"/>
    <w:rsid w:val="0005343E"/>
    <w:rsid w:val="00053683"/>
    <w:rsid w:val="00053763"/>
    <w:rsid w:val="00053881"/>
    <w:rsid w:val="000539F7"/>
    <w:rsid w:val="00053B61"/>
    <w:rsid w:val="00053C0C"/>
    <w:rsid w:val="00053CD6"/>
    <w:rsid w:val="00053D5E"/>
    <w:rsid w:val="00054127"/>
    <w:rsid w:val="00054D1D"/>
    <w:rsid w:val="00054E99"/>
    <w:rsid w:val="0005510D"/>
    <w:rsid w:val="000554C2"/>
    <w:rsid w:val="000560AB"/>
    <w:rsid w:val="0005628D"/>
    <w:rsid w:val="00056498"/>
    <w:rsid w:val="000568D3"/>
    <w:rsid w:val="00056B88"/>
    <w:rsid w:val="00056CED"/>
    <w:rsid w:val="0005702C"/>
    <w:rsid w:val="000575BC"/>
    <w:rsid w:val="0005784B"/>
    <w:rsid w:val="000578DE"/>
    <w:rsid w:val="0005790D"/>
    <w:rsid w:val="0005793B"/>
    <w:rsid w:val="00057B05"/>
    <w:rsid w:val="00057E6C"/>
    <w:rsid w:val="00060444"/>
    <w:rsid w:val="000607E4"/>
    <w:rsid w:val="00060917"/>
    <w:rsid w:val="00060FD8"/>
    <w:rsid w:val="0006123D"/>
    <w:rsid w:val="000618EA"/>
    <w:rsid w:val="00061C33"/>
    <w:rsid w:val="000620FE"/>
    <w:rsid w:val="00062396"/>
    <w:rsid w:val="00062779"/>
    <w:rsid w:val="000628F9"/>
    <w:rsid w:val="00062955"/>
    <w:rsid w:val="00062CA2"/>
    <w:rsid w:val="00063378"/>
    <w:rsid w:val="000635FB"/>
    <w:rsid w:val="0006360F"/>
    <w:rsid w:val="00063664"/>
    <w:rsid w:val="0006367C"/>
    <w:rsid w:val="00063A2E"/>
    <w:rsid w:val="000641FC"/>
    <w:rsid w:val="000646AB"/>
    <w:rsid w:val="00065176"/>
    <w:rsid w:val="000654CF"/>
    <w:rsid w:val="0006592D"/>
    <w:rsid w:val="00065978"/>
    <w:rsid w:val="00065FE6"/>
    <w:rsid w:val="00066027"/>
    <w:rsid w:val="000661AB"/>
    <w:rsid w:val="0006677F"/>
    <w:rsid w:val="00066AB1"/>
    <w:rsid w:val="00066BC1"/>
    <w:rsid w:val="0006724F"/>
    <w:rsid w:val="00067410"/>
    <w:rsid w:val="0006766F"/>
    <w:rsid w:val="0006796D"/>
    <w:rsid w:val="00067CF3"/>
    <w:rsid w:val="000700D2"/>
    <w:rsid w:val="0007043C"/>
    <w:rsid w:val="0007050C"/>
    <w:rsid w:val="00070CBC"/>
    <w:rsid w:val="00070F42"/>
    <w:rsid w:val="00071438"/>
    <w:rsid w:val="00071750"/>
    <w:rsid w:val="00071948"/>
    <w:rsid w:val="0007198F"/>
    <w:rsid w:val="0007237A"/>
    <w:rsid w:val="000729C4"/>
    <w:rsid w:val="00072E00"/>
    <w:rsid w:val="00072FCD"/>
    <w:rsid w:val="0007341E"/>
    <w:rsid w:val="000735E9"/>
    <w:rsid w:val="00073729"/>
    <w:rsid w:val="000737B2"/>
    <w:rsid w:val="00073983"/>
    <w:rsid w:val="00073A55"/>
    <w:rsid w:val="000745F7"/>
    <w:rsid w:val="000748C2"/>
    <w:rsid w:val="00074D3D"/>
    <w:rsid w:val="00075B8B"/>
    <w:rsid w:val="00075F53"/>
    <w:rsid w:val="000761D7"/>
    <w:rsid w:val="000767A8"/>
    <w:rsid w:val="00076F44"/>
    <w:rsid w:val="000778E1"/>
    <w:rsid w:val="00077C07"/>
    <w:rsid w:val="0008069E"/>
    <w:rsid w:val="00080D32"/>
    <w:rsid w:val="00081085"/>
    <w:rsid w:val="000812DE"/>
    <w:rsid w:val="0008147E"/>
    <w:rsid w:val="0008148D"/>
    <w:rsid w:val="0008156D"/>
    <w:rsid w:val="00081D36"/>
    <w:rsid w:val="00082189"/>
    <w:rsid w:val="00082514"/>
    <w:rsid w:val="00082526"/>
    <w:rsid w:val="000825BD"/>
    <w:rsid w:val="00082673"/>
    <w:rsid w:val="0008303E"/>
    <w:rsid w:val="00083484"/>
    <w:rsid w:val="000837A2"/>
    <w:rsid w:val="00083881"/>
    <w:rsid w:val="00083DA8"/>
    <w:rsid w:val="00083E9B"/>
    <w:rsid w:val="00084250"/>
    <w:rsid w:val="00084253"/>
    <w:rsid w:val="00084420"/>
    <w:rsid w:val="00084525"/>
    <w:rsid w:val="000848E5"/>
    <w:rsid w:val="00084F97"/>
    <w:rsid w:val="000856A1"/>
    <w:rsid w:val="000856DC"/>
    <w:rsid w:val="00085AE4"/>
    <w:rsid w:val="00085BF7"/>
    <w:rsid w:val="000860E9"/>
    <w:rsid w:val="00086466"/>
    <w:rsid w:val="0008718F"/>
    <w:rsid w:val="00087499"/>
    <w:rsid w:val="00087569"/>
    <w:rsid w:val="00087C30"/>
    <w:rsid w:val="00087DFA"/>
    <w:rsid w:val="000901E0"/>
    <w:rsid w:val="00090458"/>
    <w:rsid w:val="0009073F"/>
    <w:rsid w:val="00090B2F"/>
    <w:rsid w:val="00090EC5"/>
    <w:rsid w:val="00091033"/>
    <w:rsid w:val="000911C7"/>
    <w:rsid w:val="000913F3"/>
    <w:rsid w:val="0009162E"/>
    <w:rsid w:val="00091BF8"/>
    <w:rsid w:val="00091C7E"/>
    <w:rsid w:val="00091E39"/>
    <w:rsid w:val="00091EB8"/>
    <w:rsid w:val="00092160"/>
    <w:rsid w:val="00092208"/>
    <w:rsid w:val="000932C7"/>
    <w:rsid w:val="000932F2"/>
    <w:rsid w:val="000933D0"/>
    <w:rsid w:val="00093411"/>
    <w:rsid w:val="00093460"/>
    <w:rsid w:val="00093801"/>
    <w:rsid w:val="00093891"/>
    <w:rsid w:val="00093905"/>
    <w:rsid w:val="000939BA"/>
    <w:rsid w:val="00093A66"/>
    <w:rsid w:val="00093BE3"/>
    <w:rsid w:val="00093D58"/>
    <w:rsid w:val="00093FF8"/>
    <w:rsid w:val="00094065"/>
    <w:rsid w:val="00094D85"/>
    <w:rsid w:val="00095134"/>
    <w:rsid w:val="00095173"/>
    <w:rsid w:val="0009525A"/>
    <w:rsid w:val="00095F0E"/>
    <w:rsid w:val="000960E9"/>
    <w:rsid w:val="00096532"/>
    <w:rsid w:val="00096644"/>
    <w:rsid w:val="0009667F"/>
    <w:rsid w:val="0009682F"/>
    <w:rsid w:val="0009696E"/>
    <w:rsid w:val="00096B9E"/>
    <w:rsid w:val="00096E01"/>
    <w:rsid w:val="00097103"/>
    <w:rsid w:val="00097109"/>
    <w:rsid w:val="0009731E"/>
    <w:rsid w:val="000973B4"/>
    <w:rsid w:val="00097A38"/>
    <w:rsid w:val="00097E0F"/>
    <w:rsid w:val="000A050E"/>
    <w:rsid w:val="000A0879"/>
    <w:rsid w:val="000A0B86"/>
    <w:rsid w:val="000A0CA3"/>
    <w:rsid w:val="000A12C3"/>
    <w:rsid w:val="000A1362"/>
    <w:rsid w:val="000A1502"/>
    <w:rsid w:val="000A15F6"/>
    <w:rsid w:val="000A1759"/>
    <w:rsid w:val="000A1904"/>
    <w:rsid w:val="000A1962"/>
    <w:rsid w:val="000A1A50"/>
    <w:rsid w:val="000A1ACF"/>
    <w:rsid w:val="000A1C18"/>
    <w:rsid w:val="000A1F75"/>
    <w:rsid w:val="000A2A6A"/>
    <w:rsid w:val="000A2B54"/>
    <w:rsid w:val="000A2DF2"/>
    <w:rsid w:val="000A2F22"/>
    <w:rsid w:val="000A30FD"/>
    <w:rsid w:val="000A328D"/>
    <w:rsid w:val="000A37A5"/>
    <w:rsid w:val="000A42FB"/>
    <w:rsid w:val="000A4F85"/>
    <w:rsid w:val="000A564E"/>
    <w:rsid w:val="000A5812"/>
    <w:rsid w:val="000A5B62"/>
    <w:rsid w:val="000A5F18"/>
    <w:rsid w:val="000A610E"/>
    <w:rsid w:val="000A634B"/>
    <w:rsid w:val="000A6DC6"/>
    <w:rsid w:val="000A6E37"/>
    <w:rsid w:val="000A6FA1"/>
    <w:rsid w:val="000A700E"/>
    <w:rsid w:val="000A742D"/>
    <w:rsid w:val="000A746A"/>
    <w:rsid w:val="000A7A17"/>
    <w:rsid w:val="000A7A33"/>
    <w:rsid w:val="000A7B51"/>
    <w:rsid w:val="000A7D34"/>
    <w:rsid w:val="000A7EA1"/>
    <w:rsid w:val="000B0127"/>
    <w:rsid w:val="000B01F5"/>
    <w:rsid w:val="000B03A7"/>
    <w:rsid w:val="000B0D52"/>
    <w:rsid w:val="000B1647"/>
    <w:rsid w:val="000B177C"/>
    <w:rsid w:val="000B1E4B"/>
    <w:rsid w:val="000B20E3"/>
    <w:rsid w:val="000B26D3"/>
    <w:rsid w:val="000B27F1"/>
    <w:rsid w:val="000B2A15"/>
    <w:rsid w:val="000B317B"/>
    <w:rsid w:val="000B36D5"/>
    <w:rsid w:val="000B36DD"/>
    <w:rsid w:val="000B3D30"/>
    <w:rsid w:val="000B411E"/>
    <w:rsid w:val="000B4406"/>
    <w:rsid w:val="000B456A"/>
    <w:rsid w:val="000B49CF"/>
    <w:rsid w:val="000B5164"/>
    <w:rsid w:val="000B5290"/>
    <w:rsid w:val="000B5394"/>
    <w:rsid w:val="000B5669"/>
    <w:rsid w:val="000B5810"/>
    <w:rsid w:val="000B5B94"/>
    <w:rsid w:val="000B60BE"/>
    <w:rsid w:val="000B6270"/>
    <w:rsid w:val="000B6370"/>
    <w:rsid w:val="000B65E3"/>
    <w:rsid w:val="000B67D1"/>
    <w:rsid w:val="000B6BD5"/>
    <w:rsid w:val="000B7066"/>
    <w:rsid w:val="000B7676"/>
    <w:rsid w:val="000B7D32"/>
    <w:rsid w:val="000B7D5F"/>
    <w:rsid w:val="000B7FB9"/>
    <w:rsid w:val="000C0008"/>
    <w:rsid w:val="000C01F4"/>
    <w:rsid w:val="000C031C"/>
    <w:rsid w:val="000C0847"/>
    <w:rsid w:val="000C0851"/>
    <w:rsid w:val="000C0963"/>
    <w:rsid w:val="000C0B1B"/>
    <w:rsid w:val="000C0BF8"/>
    <w:rsid w:val="000C0DFE"/>
    <w:rsid w:val="000C0FEC"/>
    <w:rsid w:val="000C0FFD"/>
    <w:rsid w:val="000C10F9"/>
    <w:rsid w:val="000C110C"/>
    <w:rsid w:val="000C1147"/>
    <w:rsid w:val="000C23B7"/>
    <w:rsid w:val="000C250C"/>
    <w:rsid w:val="000C2680"/>
    <w:rsid w:val="000C2828"/>
    <w:rsid w:val="000C2BC5"/>
    <w:rsid w:val="000C2DA6"/>
    <w:rsid w:val="000C2F7A"/>
    <w:rsid w:val="000C346A"/>
    <w:rsid w:val="000C473D"/>
    <w:rsid w:val="000C4869"/>
    <w:rsid w:val="000C49BA"/>
    <w:rsid w:val="000C4B7B"/>
    <w:rsid w:val="000C520D"/>
    <w:rsid w:val="000C59C2"/>
    <w:rsid w:val="000C5F94"/>
    <w:rsid w:val="000C6012"/>
    <w:rsid w:val="000C6118"/>
    <w:rsid w:val="000C641B"/>
    <w:rsid w:val="000C654A"/>
    <w:rsid w:val="000C665C"/>
    <w:rsid w:val="000C678D"/>
    <w:rsid w:val="000C6C77"/>
    <w:rsid w:val="000C6D56"/>
    <w:rsid w:val="000C6F15"/>
    <w:rsid w:val="000C7633"/>
    <w:rsid w:val="000D021C"/>
    <w:rsid w:val="000D0552"/>
    <w:rsid w:val="000D082D"/>
    <w:rsid w:val="000D0B09"/>
    <w:rsid w:val="000D0BE9"/>
    <w:rsid w:val="000D0D12"/>
    <w:rsid w:val="000D170C"/>
    <w:rsid w:val="000D20F9"/>
    <w:rsid w:val="000D2202"/>
    <w:rsid w:val="000D2504"/>
    <w:rsid w:val="000D256B"/>
    <w:rsid w:val="000D2731"/>
    <w:rsid w:val="000D2E82"/>
    <w:rsid w:val="000D32E4"/>
    <w:rsid w:val="000D34F7"/>
    <w:rsid w:val="000D36E6"/>
    <w:rsid w:val="000D3A30"/>
    <w:rsid w:val="000D3E23"/>
    <w:rsid w:val="000D4007"/>
    <w:rsid w:val="000D4640"/>
    <w:rsid w:val="000D4F62"/>
    <w:rsid w:val="000D5015"/>
    <w:rsid w:val="000D538C"/>
    <w:rsid w:val="000D5562"/>
    <w:rsid w:val="000D558D"/>
    <w:rsid w:val="000D59EA"/>
    <w:rsid w:val="000D5B09"/>
    <w:rsid w:val="000D5E26"/>
    <w:rsid w:val="000D6194"/>
    <w:rsid w:val="000D626A"/>
    <w:rsid w:val="000D6881"/>
    <w:rsid w:val="000D69CD"/>
    <w:rsid w:val="000D6E45"/>
    <w:rsid w:val="000D6FA7"/>
    <w:rsid w:val="000D7156"/>
    <w:rsid w:val="000D72F9"/>
    <w:rsid w:val="000D743F"/>
    <w:rsid w:val="000D7648"/>
    <w:rsid w:val="000D7788"/>
    <w:rsid w:val="000D78D2"/>
    <w:rsid w:val="000E0131"/>
    <w:rsid w:val="000E0EE1"/>
    <w:rsid w:val="000E0F77"/>
    <w:rsid w:val="000E142B"/>
    <w:rsid w:val="000E1564"/>
    <w:rsid w:val="000E15A5"/>
    <w:rsid w:val="000E15D3"/>
    <w:rsid w:val="000E188E"/>
    <w:rsid w:val="000E19BC"/>
    <w:rsid w:val="000E1C43"/>
    <w:rsid w:val="000E1E86"/>
    <w:rsid w:val="000E211F"/>
    <w:rsid w:val="000E25A5"/>
    <w:rsid w:val="000E275B"/>
    <w:rsid w:val="000E2779"/>
    <w:rsid w:val="000E2DAB"/>
    <w:rsid w:val="000E2E5D"/>
    <w:rsid w:val="000E30EE"/>
    <w:rsid w:val="000E3145"/>
    <w:rsid w:val="000E3356"/>
    <w:rsid w:val="000E3380"/>
    <w:rsid w:val="000E3B6B"/>
    <w:rsid w:val="000E3D03"/>
    <w:rsid w:val="000E3FE1"/>
    <w:rsid w:val="000E48C8"/>
    <w:rsid w:val="000E502C"/>
    <w:rsid w:val="000E53F3"/>
    <w:rsid w:val="000E5846"/>
    <w:rsid w:val="000E58C3"/>
    <w:rsid w:val="000E593A"/>
    <w:rsid w:val="000E5C2B"/>
    <w:rsid w:val="000E6033"/>
    <w:rsid w:val="000E627A"/>
    <w:rsid w:val="000E6401"/>
    <w:rsid w:val="000E6AAB"/>
    <w:rsid w:val="000E70D0"/>
    <w:rsid w:val="000E7307"/>
    <w:rsid w:val="000E743B"/>
    <w:rsid w:val="000E7881"/>
    <w:rsid w:val="000E7B07"/>
    <w:rsid w:val="000E7DB5"/>
    <w:rsid w:val="000E7E10"/>
    <w:rsid w:val="000E7F6F"/>
    <w:rsid w:val="000F0239"/>
    <w:rsid w:val="000F03A0"/>
    <w:rsid w:val="000F05E6"/>
    <w:rsid w:val="000F0861"/>
    <w:rsid w:val="000F0C04"/>
    <w:rsid w:val="000F0C40"/>
    <w:rsid w:val="000F11FA"/>
    <w:rsid w:val="000F12F6"/>
    <w:rsid w:val="000F1352"/>
    <w:rsid w:val="000F143F"/>
    <w:rsid w:val="000F1A14"/>
    <w:rsid w:val="000F1A1D"/>
    <w:rsid w:val="000F1DCC"/>
    <w:rsid w:val="000F2827"/>
    <w:rsid w:val="000F2877"/>
    <w:rsid w:val="000F28A8"/>
    <w:rsid w:val="000F2983"/>
    <w:rsid w:val="000F2A4A"/>
    <w:rsid w:val="000F2B5A"/>
    <w:rsid w:val="000F3294"/>
    <w:rsid w:val="000F3312"/>
    <w:rsid w:val="000F3614"/>
    <w:rsid w:val="000F3BB1"/>
    <w:rsid w:val="000F3F0A"/>
    <w:rsid w:val="000F441A"/>
    <w:rsid w:val="000F47B7"/>
    <w:rsid w:val="000F57B1"/>
    <w:rsid w:val="000F5ED5"/>
    <w:rsid w:val="000F617B"/>
    <w:rsid w:val="000F6200"/>
    <w:rsid w:val="000F636D"/>
    <w:rsid w:val="000F6472"/>
    <w:rsid w:val="000F664F"/>
    <w:rsid w:val="000F666E"/>
    <w:rsid w:val="000F6767"/>
    <w:rsid w:val="000F6C6C"/>
    <w:rsid w:val="000F6ECF"/>
    <w:rsid w:val="000F6F3B"/>
    <w:rsid w:val="000F7053"/>
    <w:rsid w:val="000F765E"/>
    <w:rsid w:val="000F7736"/>
    <w:rsid w:val="000F7898"/>
    <w:rsid w:val="000F7AD1"/>
    <w:rsid w:val="000F7CA7"/>
    <w:rsid w:val="000F7E79"/>
    <w:rsid w:val="000F7F1D"/>
    <w:rsid w:val="000F7F87"/>
    <w:rsid w:val="000F7FC7"/>
    <w:rsid w:val="00100235"/>
    <w:rsid w:val="001002F2"/>
    <w:rsid w:val="001007DB"/>
    <w:rsid w:val="00100A67"/>
    <w:rsid w:val="00100AC1"/>
    <w:rsid w:val="00101265"/>
    <w:rsid w:val="001013F5"/>
    <w:rsid w:val="00101615"/>
    <w:rsid w:val="00101650"/>
    <w:rsid w:val="001018BB"/>
    <w:rsid w:val="00101D87"/>
    <w:rsid w:val="0010266B"/>
    <w:rsid w:val="00102AA8"/>
    <w:rsid w:val="00102C06"/>
    <w:rsid w:val="00102D38"/>
    <w:rsid w:val="00102D61"/>
    <w:rsid w:val="00102E15"/>
    <w:rsid w:val="00103464"/>
    <w:rsid w:val="00103837"/>
    <w:rsid w:val="0010434C"/>
    <w:rsid w:val="00104848"/>
    <w:rsid w:val="0010495C"/>
    <w:rsid w:val="00104BFD"/>
    <w:rsid w:val="00104EFA"/>
    <w:rsid w:val="00105146"/>
    <w:rsid w:val="00105210"/>
    <w:rsid w:val="00105350"/>
    <w:rsid w:val="001054C4"/>
    <w:rsid w:val="00105712"/>
    <w:rsid w:val="001058D8"/>
    <w:rsid w:val="00105A4B"/>
    <w:rsid w:val="00105BA7"/>
    <w:rsid w:val="00105E6B"/>
    <w:rsid w:val="00106062"/>
    <w:rsid w:val="00106187"/>
    <w:rsid w:val="0010650D"/>
    <w:rsid w:val="00106C38"/>
    <w:rsid w:val="00106FFA"/>
    <w:rsid w:val="001073A7"/>
    <w:rsid w:val="001077FF"/>
    <w:rsid w:val="00107EDD"/>
    <w:rsid w:val="00107F09"/>
    <w:rsid w:val="00110544"/>
    <w:rsid w:val="0011076B"/>
    <w:rsid w:val="001116FA"/>
    <w:rsid w:val="001119F1"/>
    <w:rsid w:val="00111B6E"/>
    <w:rsid w:val="00111DF0"/>
    <w:rsid w:val="00111EF5"/>
    <w:rsid w:val="001120F8"/>
    <w:rsid w:val="0011297D"/>
    <w:rsid w:val="001129F5"/>
    <w:rsid w:val="001130E8"/>
    <w:rsid w:val="00113228"/>
    <w:rsid w:val="001132C2"/>
    <w:rsid w:val="0011340A"/>
    <w:rsid w:val="0011345D"/>
    <w:rsid w:val="00113480"/>
    <w:rsid w:val="00113815"/>
    <w:rsid w:val="00113B02"/>
    <w:rsid w:val="00113D0A"/>
    <w:rsid w:val="00113D7A"/>
    <w:rsid w:val="00113E0D"/>
    <w:rsid w:val="001141D8"/>
    <w:rsid w:val="0011450A"/>
    <w:rsid w:val="00114649"/>
    <w:rsid w:val="0011473C"/>
    <w:rsid w:val="00114C97"/>
    <w:rsid w:val="0011505F"/>
    <w:rsid w:val="001150F9"/>
    <w:rsid w:val="00115352"/>
    <w:rsid w:val="001154C2"/>
    <w:rsid w:val="00115779"/>
    <w:rsid w:val="00115968"/>
    <w:rsid w:val="001162B7"/>
    <w:rsid w:val="00116364"/>
    <w:rsid w:val="001166EB"/>
    <w:rsid w:val="001167AB"/>
    <w:rsid w:val="00116BAF"/>
    <w:rsid w:val="00116C67"/>
    <w:rsid w:val="00116DF0"/>
    <w:rsid w:val="00116F85"/>
    <w:rsid w:val="00117762"/>
    <w:rsid w:val="00117862"/>
    <w:rsid w:val="00117AAD"/>
    <w:rsid w:val="00117DEA"/>
    <w:rsid w:val="00120201"/>
    <w:rsid w:val="00120878"/>
    <w:rsid w:val="00120DC5"/>
    <w:rsid w:val="00120FFC"/>
    <w:rsid w:val="00121339"/>
    <w:rsid w:val="00121407"/>
    <w:rsid w:val="0012143B"/>
    <w:rsid w:val="0012171A"/>
    <w:rsid w:val="001219FE"/>
    <w:rsid w:val="00121E24"/>
    <w:rsid w:val="001221E1"/>
    <w:rsid w:val="0012237D"/>
    <w:rsid w:val="0012240D"/>
    <w:rsid w:val="00122991"/>
    <w:rsid w:val="00122EC7"/>
    <w:rsid w:val="00122F42"/>
    <w:rsid w:val="00122FDA"/>
    <w:rsid w:val="001230B0"/>
    <w:rsid w:val="00123125"/>
    <w:rsid w:val="00123352"/>
    <w:rsid w:val="001237D6"/>
    <w:rsid w:val="00123884"/>
    <w:rsid w:val="001238A9"/>
    <w:rsid w:val="00123C2E"/>
    <w:rsid w:val="00124085"/>
    <w:rsid w:val="001241B7"/>
    <w:rsid w:val="0012432D"/>
    <w:rsid w:val="001245B8"/>
    <w:rsid w:val="001247FB"/>
    <w:rsid w:val="00124987"/>
    <w:rsid w:val="00124DD5"/>
    <w:rsid w:val="00124E6A"/>
    <w:rsid w:val="00124EB2"/>
    <w:rsid w:val="0012510B"/>
    <w:rsid w:val="001252D4"/>
    <w:rsid w:val="00125350"/>
    <w:rsid w:val="00125929"/>
    <w:rsid w:val="001259FB"/>
    <w:rsid w:val="00126078"/>
    <w:rsid w:val="001260E1"/>
    <w:rsid w:val="0012657F"/>
    <w:rsid w:val="001269DC"/>
    <w:rsid w:val="00126ADC"/>
    <w:rsid w:val="00127169"/>
    <w:rsid w:val="00127739"/>
    <w:rsid w:val="00127DA2"/>
    <w:rsid w:val="00127E8E"/>
    <w:rsid w:val="001300F0"/>
    <w:rsid w:val="00130167"/>
    <w:rsid w:val="00130397"/>
    <w:rsid w:val="00130517"/>
    <w:rsid w:val="0013052E"/>
    <w:rsid w:val="00130A91"/>
    <w:rsid w:val="00130C31"/>
    <w:rsid w:val="0013116A"/>
    <w:rsid w:val="0013120D"/>
    <w:rsid w:val="0013131F"/>
    <w:rsid w:val="00131458"/>
    <w:rsid w:val="0013172F"/>
    <w:rsid w:val="0013229E"/>
    <w:rsid w:val="00132328"/>
    <w:rsid w:val="0013245D"/>
    <w:rsid w:val="0013261C"/>
    <w:rsid w:val="00132E0A"/>
    <w:rsid w:val="00132E31"/>
    <w:rsid w:val="00132E95"/>
    <w:rsid w:val="00132F7C"/>
    <w:rsid w:val="00133106"/>
    <w:rsid w:val="001336BB"/>
    <w:rsid w:val="00133787"/>
    <w:rsid w:val="00133B52"/>
    <w:rsid w:val="00133C61"/>
    <w:rsid w:val="00134165"/>
    <w:rsid w:val="001342B4"/>
    <w:rsid w:val="00134688"/>
    <w:rsid w:val="0013487A"/>
    <w:rsid w:val="00134E3E"/>
    <w:rsid w:val="00134F9D"/>
    <w:rsid w:val="00135037"/>
    <w:rsid w:val="00135266"/>
    <w:rsid w:val="00135D41"/>
    <w:rsid w:val="00135DE1"/>
    <w:rsid w:val="00136024"/>
    <w:rsid w:val="0013605E"/>
    <w:rsid w:val="001361CE"/>
    <w:rsid w:val="00136961"/>
    <w:rsid w:val="00136C51"/>
    <w:rsid w:val="001377DA"/>
    <w:rsid w:val="00137951"/>
    <w:rsid w:val="00137996"/>
    <w:rsid w:val="00137A3A"/>
    <w:rsid w:val="00137AAD"/>
    <w:rsid w:val="00137AF4"/>
    <w:rsid w:val="00137C2A"/>
    <w:rsid w:val="00137FD4"/>
    <w:rsid w:val="00140457"/>
    <w:rsid w:val="001405CB"/>
    <w:rsid w:val="0014074D"/>
    <w:rsid w:val="00140851"/>
    <w:rsid w:val="00140939"/>
    <w:rsid w:val="00140DDB"/>
    <w:rsid w:val="0014109F"/>
    <w:rsid w:val="00141296"/>
    <w:rsid w:val="0014193B"/>
    <w:rsid w:val="00141CC7"/>
    <w:rsid w:val="00141DBC"/>
    <w:rsid w:val="00141E46"/>
    <w:rsid w:val="00141EF3"/>
    <w:rsid w:val="0014202F"/>
    <w:rsid w:val="001424D7"/>
    <w:rsid w:val="00142677"/>
    <w:rsid w:val="00142D8C"/>
    <w:rsid w:val="00142DC8"/>
    <w:rsid w:val="00142E86"/>
    <w:rsid w:val="00143421"/>
    <w:rsid w:val="001438EB"/>
    <w:rsid w:val="00143B46"/>
    <w:rsid w:val="00143DCA"/>
    <w:rsid w:val="00143FC3"/>
    <w:rsid w:val="001442D4"/>
    <w:rsid w:val="00144364"/>
    <w:rsid w:val="0014440B"/>
    <w:rsid w:val="001448A3"/>
    <w:rsid w:val="00144CB1"/>
    <w:rsid w:val="00144FBF"/>
    <w:rsid w:val="00145303"/>
    <w:rsid w:val="0014569C"/>
    <w:rsid w:val="001456B4"/>
    <w:rsid w:val="00145851"/>
    <w:rsid w:val="00145AC8"/>
    <w:rsid w:val="00145F02"/>
    <w:rsid w:val="0014632D"/>
    <w:rsid w:val="001463FA"/>
    <w:rsid w:val="00146A4D"/>
    <w:rsid w:val="00146A8D"/>
    <w:rsid w:val="00146BBA"/>
    <w:rsid w:val="00146E13"/>
    <w:rsid w:val="00147A2F"/>
    <w:rsid w:val="00147A86"/>
    <w:rsid w:val="00147B1B"/>
    <w:rsid w:val="00147C34"/>
    <w:rsid w:val="00147FBF"/>
    <w:rsid w:val="001500B0"/>
    <w:rsid w:val="001503A1"/>
    <w:rsid w:val="00150512"/>
    <w:rsid w:val="00150AB5"/>
    <w:rsid w:val="00150ED6"/>
    <w:rsid w:val="00151446"/>
    <w:rsid w:val="00151448"/>
    <w:rsid w:val="001518E7"/>
    <w:rsid w:val="00151C00"/>
    <w:rsid w:val="00151D76"/>
    <w:rsid w:val="0015268E"/>
    <w:rsid w:val="00152AE2"/>
    <w:rsid w:val="00152ECB"/>
    <w:rsid w:val="00153256"/>
    <w:rsid w:val="001533ED"/>
    <w:rsid w:val="00153467"/>
    <w:rsid w:val="00153887"/>
    <w:rsid w:val="00153961"/>
    <w:rsid w:val="00154214"/>
    <w:rsid w:val="0015453F"/>
    <w:rsid w:val="001545E2"/>
    <w:rsid w:val="00154642"/>
    <w:rsid w:val="001547A3"/>
    <w:rsid w:val="00155070"/>
    <w:rsid w:val="001556BF"/>
    <w:rsid w:val="00155E40"/>
    <w:rsid w:val="00155F70"/>
    <w:rsid w:val="00156392"/>
    <w:rsid w:val="00156555"/>
    <w:rsid w:val="00156585"/>
    <w:rsid w:val="0015675C"/>
    <w:rsid w:val="0015711C"/>
    <w:rsid w:val="001571D4"/>
    <w:rsid w:val="00157594"/>
    <w:rsid w:val="001577A2"/>
    <w:rsid w:val="00157861"/>
    <w:rsid w:val="00157C22"/>
    <w:rsid w:val="00157D63"/>
    <w:rsid w:val="00157D9F"/>
    <w:rsid w:val="001602F4"/>
    <w:rsid w:val="001608A8"/>
    <w:rsid w:val="00160DFE"/>
    <w:rsid w:val="001611DF"/>
    <w:rsid w:val="0016159E"/>
    <w:rsid w:val="001617D7"/>
    <w:rsid w:val="00161A7E"/>
    <w:rsid w:val="00161AE4"/>
    <w:rsid w:val="00161BAA"/>
    <w:rsid w:val="00161D2F"/>
    <w:rsid w:val="00161D7C"/>
    <w:rsid w:val="00161E33"/>
    <w:rsid w:val="00162151"/>
    <w:rsid w:val="0016230F"/>
    <w:rsid w:val="001624E1"/>
    <w:rsid w:val="0016294A"/>
    <w:rsid w:val="001637F6"/>
    <w:rsid w:val="00163C29"/>
    <w:rsid w:val="00163FFA"/>
    <w:rsid w:val="00164036"/>
    <w:rsid w:val="00164560"/>
    <w:rsid w:val="001646E6"/>
    <w:rsid w:val="0016495D"/>
    <w:rsid w:val="00164AC4"/>
    <w:rsid w:val="00164F28"/>
    <w:rsid w:val="0016538D"/>
    <w:rsid w:val="0016550A"/>
    <w:rsid w:val="001656CE"/>
    <w:rsid w:val="0016573D"/>
    <w:rsid w:val="0016573F"/>
    <w:rsid w:val="001659CD"/>
    <w:rsid w:val="001664E9"/>
    <w:rsid w:val="0016693C"/>
    <w:rsid w:val="00166D3D"/>
    <w:rsid w:val="00166E26"/>
    <w:rsid w:val="001679B0"/>
    <w:rsid w:val="00167A9B"/>
    <w:rsid w:val="00167B48"/>
    <w:rsid w:val="00167C19"/>
    <w:rsid w:val="00167F34"/>
    <w:rsid w:val="0017044C"/>
    <w:rsid w:val="001708BF"/>
    <w:rsid w:val="00170908"/>
    <w:rsid w:val="00170921"/>
    <w:rsid w:val="001709D2"/>
    <w:rsid w:val="001710C1"/>
    <w:rsid w:val="0017118D"/>
    <w:rsid w:val="001711E4"/>
    <w:rsid w:val="001713B4"/>
    <w:rsid w:val="00171498"/>
    <w:rsid w:val="0017154B"/>
    <w:rsid w:val="00171A3B"/>
    <w:rsid w:val="00171A6D"/>
    <w:rsid w:val="00171BC5"/>
    <w:rsid w:val="00171C65"/>
    <w:rsid w:val="00172478"/>
    <w:rsid w:val="00172E4C"/>
    <w:rsid w:val="001731E3"/>
    <w:rsid w:val="00173397"/>
    <w:rsid w:val="00173F4D"/>
    <w:rsid w:val="001741C5"/>
    <w:rsid w:val="0017424B"/>
    <w:rsid w:val="001743E8"/>
    <w:rsid w:val="00174555"/>
    <w:rsid w:val="00174998"/>
    <w:rsid w:val="00175032"/>
    <w:rsid w:val="00175240"/>
    <w:rsid w:val="0017550F"/>
    <w:rsid w:val="0017560E"/>
    <w:rsid w:val="0017565C"/>
    <w:rsid w:val="00175B2A"/>
    <w:rsid w:val="00175BFC"/>
    <w:rsid w:val="00175DA8"/>
    <w:rsid w:val="00175EE0"/>
    <w:rsid w:val="001762B4"/>
    <w:rsid w:val="001764A4"/>
    <w:rsid w:val="001767E0"/>
    <w:rsid w:val="001772DF"/>
    <w:rsid w:val="001779A7"/>
    <w:rsid w:val="00177C86"/>
    <w:rsid w:val="00180484"/>
    <w:rsid w:val="001813DE"/>
    <w:rsid w:val="00181495"/>
    <w:rsid w:val="00181AFA"/>
    <w:rsid w:val="00182EDC"/>
    <w:rsid w:val="00183753"/>
    <w:rsid w:val="0018380D"/>
    <w:rsid w:val="00183B9D"/>
    <w:rsid w:val="00183E47"/>
    <w:rsid w:val="00183FBB"/>
    <w:rsid w:val="001841B6"/>
    <w:rsid w:val="0018442E"/>
    <w:rsid w:val="00184485"/>
    <w:rsid w:val="00184683"/>
    <w:rsid w:val="001849E3"/>
    <w:rsid w:val="001851EC"/>
    <w:rsid w:val="00185A7B"/>
    <w:rsid w:val="00185AC5"/>
    <w:rsid w:val="00185ADE"/>
    <w:rsid w:val="00186277"/>
    <w:rsid w:val="001867CF"/>
    <w:rsid w:val="001868B8"/>
    <w:rsid w:val="00186C6F"/>
    <w:rsid w:val="0018721D"/>
    <w:rsid w:val="001876E4"/>
    <w:rsid w:val="00187878"/>
    <w:rsid w:val="00187B18"/>
    <w:rsid w:val="00187BBA"/>
    <w:rsid w:val="00187DA8"/>
    <w:rsid w:val="00190A37"/>
    <w:rsid w:val="0019104D"/>
    <w:rsid w:val="00191274"/>
    <w:rsid w:val="001912D3"/>
    <w:rsid w:val="00191376"/>
    <w:rsid w:val="001913AF"/>
    <w:rsid w:val="00191D16"/>
    <w:rsid w:val="001920AC"/>
    <w:rsid w:val="00192658"/>
    <w:rsid w:val="00192F46"/>
    <w:rsid w:val="001932BB"/>
    <w:rsid w:val="00193817"/>
    <w:rsid w:val="00193A75"/>
    <w:rsid w:val="00193C5C"/>
    <w:rsid w:val="00193C98"/>
    <w:rsid w:val="00194210"/>
    <w:rsid w:val="00194409"/>
    <w:rsid w:val="001945EE"/>
    <w:rsid w:val="0019493B"/>
    <w:rsid w:val="001950CD"/>
    <w:rsid w:val="00195185"/>
    <w:rsid w:val="001953F7"/>
    <w:rsid w:val="00195573"/>
    <w:rsid w:val="0019591B"/>
    <w:rsid w:val="00195980"/>
    <w:rsid w:val="00195ED3"/>
    <w:rsid w:val="00195F87"/>
    <w:rsid w:val="0019602E"/>
    <w:rsid w:val="001966C6"/>
    <w:rsid w:val="00196FF7"/>
    <w:rsid w:val="001973D0"/>
    <w:rsid w:val="00197991"/>
    <w:rsid w:val="00197C84"/>
    <w:rsid w:val="00197CA1"/>
    <w:rsid w:val="00197DE6"/>
    <w:rsid w:val="00197DF9"/>
    <w:rsid w:val="001A00EF"/>
    <w:rsid w:val="001A01FB"/>
    <w:rsid w:val="001A026D"/>
    <w:rsid w:val="001A03CD"/>
    <w:rsid w:val="001A0711"/>
    <w:rsid w:val="001A0B7A"/>
    <w:rsid w:val="001A0BC9"/>
    <w:rsid w:val="001A0D69"/>
    <w:rsid w:val="001A10BE"/>
    <w:rsid w:val="001A123B"/>
    <w:rsid w:val="001A12D1"/>
    <w:rsid w:val="001A135D"/>
    <w:rsid w:val="001A18A6"/>
    <w:rsid w:val="001A1C16"/>
    <w:rsid w:val="001A2182"/>
    <w:rsid w:val="001A21C3"/>
    <w:rsid w:val="001A23AC"/>
    <w:rsid w:val="001A25EA"/>
    <w:rsid w:val="001A2B4F"/>
    <w:rsid w:val="001A2DAA"/>
    <w:rsid w:val="001A2E13"/>
    <w:rsid w:val="001A3B62"/>
    <w:rsid w:val="001A3BA4"/>
    <w:rsid w:val="001A3F41"/>
    <w:rsid w:val="001A3FBA"/>
    <w:rsid w:val="001A41FA"/>
    <w:rsid w:val="001A4245"/>
    <w:rsid w:val="001A459F"/>
    <w:rsid w:val="001A49AC"/>
    <w:rsid w:val="001A4AF0"/>
    <w:rsid w:val="001A4BF1"/>
    <w:rsid w:val="001A4FAE"/>
    <w:rsid w:val="001A5486"/>
    <w:rsid w:val="001A5A08"/>
    <w:rsid w:val="001A6657"/>
    <w:rsid w:val="001A66E0"/>
    <w:rsid w:val="001A6B34"/>
    <w:rsid w:val="001A7447"/>
    <w:rsid w:val="001A7609"/>
    <w:rsid w:val="001A793E"/>
    <w:rsid w:val="001A7A6E"/>
    <w:rsid w:val="001B00BC"/>
    <w:rsid w:val="001B0949"/>
    <w:rsid w:val="001B09AB"/>
    <w:rsid w:val="001B0DF2"/>
    <w:rsid w:val="001B0E65"/>
    <w:rsid w:val="001B1307"/>
    <w:rsid w:val="001B1757"/>
    <w:rsid w:val="001B1ACB"/>
    <w:rsid w:val="001B22B5"/>
    <w:rsid w:val="001B2B89"/>
    <w:rsid w:val="001B37EF"/>
    <w:rsid w:val="001B3B57"/>
    <w:rsid w:val="001B3C5D"/>
    <w:rsid w:val="001B4077"/>
    <w:rsid w:val="001B460E"/>
    <w:rsid w:val="001B4C8B"/>
    <w:rsid w:val="001B4E4E"/>
    <w:rsid w:val="001B53ED"/>
    <w:rsid w:val="001B54FB"/>
    <w:rsid w:val="001B583C"/>
    <w:rsid w:val="001B5D74"/>
    <w:rsid w:val="001B6218"/>
    <w:rsid w:val="001B625E"/>
    <w:rsid w:val="001B62FD"/>
    <w:rsid w:val="001B6609"/>
    <w:rsid w:val="001B660A"/>
    <w:rsid w:val="001B6610"/>
    <w:rsid w:val="001B699C"/>
    <w:rsid w:val="001B6B68"/>
    <w:rsid w:val="001B72AD"/>
    <w:rsid w:val="001B744B"/>
    <w:rsid w:val="001B7508"/>
    <w:rsid w:val="001B7943"/>
    <w:rsid w:val="001B7A67"/>
    <w:rsid w:val="001C032B"/>
    <w:rsid w:val="001C084C"/>
    <w:rsid w:val="001C0E06"/>
    <w:rsid w:val="001C0E8E"/>
    <w:rsid w:val="001C0F9D"/>
    <w:rsid w:val="001C0FBF"/>
    <w:rsid w:val="001C1010"/>
    <w:rsid w:val="001C10A8"/>
    <w:rsid w:val="001C1384"/>
    <w:rsid w:val="001C1FFC"/>
    <w:rsid w:val="001C2004"/>
    <w:rsid w:val="001C2101"/>
    <w:rsid w:val="001C2601"/>
    <w:rsid w:val="001C2775"/>
    <w:rsid w:val="001C2F5D"/>
    <w:rsid w:val="001C329A"/>
    <w:rsid w:val="001C350F"/>
    <w:rsid w:val="001C3571"/>
    <w:rsid w:val="001C3638"/>
    <w:rsid w:val="001C3A44"/>
    <w:rsid w:val="001C3F1D"/>
    <w:rsid w:val="001C3F2C"/>
    <w:rsid w:val="001C407F"/>
    <w:rsid w:val="001C434B"/>
    <w:rsid w:val="001C478E"/>
    <w:rsid w:val="001C509C"/>
    <w:rsid w:val="001C52DE"/>
    <w:rsid w:val="001C5505"/>
    <w:rsid w:val="001C57CA"/>
    <w:rsid w:val="001C5813"/>
    <w:rsid w:val="001C5A68"/>
    <w:rsid w:val="001C61D6"/>
    <w:rsid w:val="001C6296"/>
    <w:rsid w:val="001C6476"/>
    <w:rsid w:val="001C68F5"/>
    <w:rsid w:val="001C6963"/>
    <w:rsid w:val="001C7637"/>
    <w:rsid w:val="001C7737"/>
    <w:rsid w:val="001C7942"/>
    <w:rsid w:val="001C7C45"/>
    <w:rsid w:val="001D0102"/>
    <w:rsid w:val="001D05A3"/>
    <w:rsid w:val="001D0B34"/>
    <w:rsid w:val="001D0C5B"/>
    <w:rsid w:val="001D0CE8"/>
    <w:rsid w:val="001D1665"/>
    <w:rsid w:val="001D1E28"/>
    <w:rsid w:val="001D1F7E"/>
    <w:rsid w:val="001D2195"/>
    <w:rsid w:val="001D22DF"/>
    <w:rsid w:val="001D238F"/>
    <w:rsid w:val="001D26CE"/>
    <w:rsid w:val="001D2BFF"/>
    <w:rsid w:val="001D2C1F"/>
    <w:rsid w:val="001D3054"/>
    <w:rsid w:val="001D3081"/>
    <w:rsid w:val="001D32D8"/>
    <w:rsid w:val="001D3641"/>
    <w:rsid w:val="001D369E"/>
    <w:rsid w:val="001D3E78"/>
    <w:rsid w:val="001D3ED9"/>
    <w:rsid w:val="001D3F8B"/>
    <w:rsid w:val="001D417E"/>
    <w:rsid w:val="001D43CE"/>
    <w:rsid w:val="001D4A42"/>
    <w:rsid w:val="001D4C9A"/>
    <w:rsid w:val="001D4CC5"/>
    <w:rsid w:val="001D4E6C"/>
    <w:rsid w:val="001D562A"/>
    <w:rsid w:val="001D5710"/>
    <w:rsid w:val="001D5B0B"/>
    <w:rsid w:val="001D6170"/>
    <w:rsid w:val="001D63E4"/>
    <w:rsid w:val="001D6715"/>
    <w:rsid w:val="001D682D"/>
    <w:rsid w:val="001D6F6A"/>
    <w:rsid w:val="001D713C"/>
    <w:rsid w:val="001D7788"/>
    <w:rsid w:val="001D78B7"/>
    <w:rsid w:val="001D7B1E"/>
    <w:rsid w:val="001E024E"/>
    <w:rsid w:val="001E085B"/>
    <w:rsid w:val="001E0A64"/>
    <w:rsid w:val="001E0F80"/>
    <w:rsid w:val="001E113A"/>
    <w:rsid w:val="001E123E"/>
    <w:rsid w:val="001E1D45"/>
    <w:rsid w:val="001E2350"/>
    <w:rsid w:val="001E23D8"/>
    <w:rsid w:val="001E2797"/>
    <w:rsid w:val="001E2EFD"/>
    <w:rsid w:val="001E2FB5"/>
    <w:rsid w:val="001E30ED"/>
    <w:rsid w:val="001E31B8"/>
    <w:rsid w:val="001E33DE"/>
    <w:rsid w:val="001E35DB"/>
    <w:rsid w:val="001E3812"/>
    <w:rsid w:val="001E3DD8"/>
    <w:rsid w:val="001E4619"/>
    <w:rsid w:val="001E4C3B"/>
    <w:rsid w:val="001E5003"/>
    <w:rsid w:val="001E5167"/>
    <w:rsid w:val="001E55A1"/>
    <w:rsid w:val="001E5673"/>
    <w:rsid w:val="001E56C1"/>
    <w:rsid w:val="001E57BE"/>
    <w:rsid w:val="001E591D"/>
    <w:rsid w:val="001E5AF8"/>
    <w:rsid w:val="001E5BC2"/>
    <w:rsid w:val="001E620D"/>
    <w:rsid w:val="001E6232"/>
    <w:rsid w:val="001E673E"/>
    <w:rsid w:val="001E6C4B"/>
    <w:rsid w:val="001E6DF4"/>
    <w:rsid w:val="001E7C02"/>
    <w:rsid w:val="001E7CBB"/>
    <w:rsid w:val="001E7DE3"/>
    <w:rsid w:val="001F0192"/>
    <w:rsid w:val="001F083F"/>
    <w:rsid w:val="001F16EC"/>
    <w:rsid w:val="001F186D"/>
    <w:rsid w:val="001F1A21"/>
    <w:rsid w:val="001F1FB8"/>
    <w:rsid w:val="001F24FC"/>
    <w:rsid w:val="001F2FBA"/>
    <w:rsid w:val="001F3547"/>
    <w:rsid w:val="001F3F2B"/>
    <w:rsid w:val="001F4063"/>
    <w:rsid w:val="001F4115"/>
    <w:rsid w:val="001F509B"/>
    <w:rsid w:val="001F5B21"/>
    <w:rsid w:val="001F5D9E"/>
    <w:rsid w:val="001F60D4"/>
    <w:rsid w:val="001F615A"/>
    <w:rsid w:val="001F6B68"/>
    <w:rsid w:val="001F6E3D"/>
    <w:rsid w:val="001F73D5"/>
    <w:rsid w:val="001F7515"/>
    <w:rsid w:val="001F7C7A"/>
    <w:rsid w:val="001F7C9E"/>
    <w:rsid w:val="001F7D1C"/>
    <w:rsid w:val="00200CC8"/>
    <w:rsid w:val="002011E0"/>
    <w:rsid w:val="0020125E"/>
    <w:rsid w:val="00201886"/>
    <w:rsid w:val="00201D18"/>
    <w:rsid w:val="00201FCC"/>
    <w:rsid w:val="002022C6"/>
    <w:rsid w:val="00202600"/>
    <w:rsid w:val="00202AD9"/>
    <w:rsid w:val="00202BD1"/>
    <w:rsid w:val="00202D5D"/>
    <w:rsid w:val="00202D84"/>
    <w:rsid w:val="00202E9F"/>
    <w:rsid w:val="0020303D"/>
    <w:rsid w:val="002035BD"/>
    <w:rsid w:val="00203711"/>
    <w:rsid w:val="00203774"/>
    <w:rsid w:val="00203CD4"/>
    <w:rsid w:val="002045A0"/>
    <w:rsid w:val="00204729"/>
    <w:rsid w:val="0020475F"/>
    <w:rsid w:val="0020509E"/>
    <w:rsid w:val="002055A6"/>
    <w:rsid w:val="00205617"/>
    <w:rsid w:val="002056A7"/>
    <w:rsid w:val="00205E18"/>
    <w:rsid w:val="00206191"/>
    <w:rsid w:val="002069F2"/>
    <w:rsid w:val="00206AF4"/>
    <w:rsid w:val="00206B20"/>
    <w:rsid w:val="002070C4"/>
    <w:rsid w:val="0020714F"/>
    <w:rsid w:val="002072B1"/>
    <w:rsid w:val="00207A23"/>
    <w:rsid w:val="00207BBF"/>
    <w:rsid w:val="00207CC3"/>
    <w:rsid w:val="002100B4"/>
    <w:rsid w:val="0021058A"/>
    <w:rsid w:val="00210BB5"/>
    <w:rsid w:val="00210C68"/>
    <w:rsid w:val="00210CFE"/>
    <w:rsid w:val="00210D12"/>
    <w:rsid w:val="00211051"/>
    <w:rsid w:val="00211098"/>
    <w:rsid w:val="00211157"/>
    <w:rsid w:val="002114EC"/>
    <w:rsid w:val="00211628"/>
    <w:rsid w:val="00212076"/>
    <w:rsid w:val="00212456"/>
    <w:rsid w:val="00212792"/>
    <w:rsid w:val="00212B65"/>
    <w:rsid w:val="00212E17"/>
    <w:rsid w:val="00212E47"/>
    <w:rsid w:val="00212F6D"/>
    <w:rsid w:val="00213C60"/>
    <w:rsid w:val="00213E74"/>
    <w:rsid w:val="00214079"/>
    <w:rsid w:val="00214118"/>
    <w:rsid w:val="0021456F"/>
    <w:rsid w:val="00215FF5"/>
    <w:rsid w:val="002162BB"/>
    <w:rsid w:val="00216311"/>
    <w:rsid w:val="002163E0"/>
    <w:rsid w:val="002164A5"/>
    <w:rsid w:val="00216610"/>
    <w:rsid w:val="002166B2"/>
    <w:rsid w:val="00216757"/>
    <w:rsid w:val="00216C20"/>
    <w:rsid w:val="00216D07"/>
    <w:rsid w:val="00217054"/>
    <w:rsid w:val="0021717C"/>
    <w:rsid w:val="002174E5"/>
    <w:rsid w:val="0021752C"/>
    <w:rsid w:val="0021767B"/>
    <w:rsid w:val="002178AF"/>
    <w:rsid w:val="00217913"/>
    <w:rsid w:val="00217946"/>
    <w:rsid w:val="00220342"/>
    <w:rsid w:val="002203A8"/>
    <w:rsid w:val="0022084C"/>
    <w:rsid w:val="00220881"/>
    <w:rsid w:val="002209BA"/>
    <w:rsid w:val="00220A6E"/>
    <w:rsid w:val="00220C5E"/>
    <w:rsid w:val="00220EB7"/>
    <w:rsid w:val="002210F6"/>
    <w:rsid w:val="002211F7"/>
    <w:rsid w:val="0022127C"/>
    <w:rsid w:val="0022140A"/>
    <w:rsid w:val="00221686"/>
    <w:rsid w:val="00221D0A"/>
    <w:rsid w:val="00221E18"/>
    <w:rsid w:val="0022250E"/>
    <w:rsid w:val="002229A6"/>
    <w:rsid w:val="00222B4D"/>
    <w:rsid w:val="00222F36"/>
    <w:rsid w:val="002230FB"/>
    <w:rsid w:val="002231C2"/>
    <w:rsid w:val="002233A6"/>
    <w:rsid w:val="002234DC"/>
    <w:rsid w:val="002237A0"/>
    <w:rsid w:val="00223D01"/>
    <w:rsid w:val="0022428D"/>
    <w:rsid w:val="002243C2"/>
    <w:rsid w:val="00224735"/>
    <w:rsid w:val="00224925"/>
    <w:rsid w:val="00224FFA"/>
    <w:rsid w:val="002254ED"/>
    <w:rsid w:val="002256AF"/>
    <w:rsid w:val="002258D1"/>
    <w:rsid w:val="00225F6C"/>
    <w:rsid w:val="002260FB"/>
    <w:rsid w:val="00226176"/>
    <w:rsid w:val="00226414"/>
    <w:rsid w:val="00226511"/>
    <w:rsid w:val="0022671C"/>
    <w:rsid w:val="002267F1"/>
    <w:rsid w:val="0022692A"/>
    <w:rsid w:val="0022698C"/>
    <w:rsid w:val="00226C6C"/>
    <w:rsid w:val="00226E23"/>
    <w:rsid w:val="00226FDD"/>
    <w:rsid w:val="002273C2"/>
    <w:rsid w:val="0022767A"/>
    <w:rsid w:val="002277D0"/>
    <w:rsid w:val="00227ACB"/>
    <w:rsid w:val="00227C0D"/>
    <w:rsid w:val="00227F6D"/>
    <w:rsid w:val="00227FAB"/>
    <w:rsid w:val="00230750"/>
    <w:rsid w:val="00230952"/>
    <w:rsid w:val="00230B92"/>
    <w:rsid w:val="00230BED"/>
    <w:rsid w:val="00230EBC"/>
    <w:rsid w:val="00230F06"/>
    <w:rsid w:val="002315EF"/>
    <w:rsid w:val="00231B85"/>
    <w:rsid w:val="00231C30"/>
    <w:rsid w:val="00231E46"/>
    <w:rsid w:val="00231F1A"/>
    <w:rsid w:val="00231F5A"/>
    <w:rsid w:val="00232252"/>
    <w:rsid w:val="00232531"/>
    <w:rsid w:val="002325C9"/>
    <w:rsid w:val="00232845"/>
    <w:rsid w:val="00232AC9"/>
    <w:rsid w:val="00232C78"/>
    <w:rsid w:val="00233127"/>
    <w:rsid w:val="0023351C"/>
    <w:rsid w:val="00233930"/>
    <w:rsid w:val="00233C8D"/>
    <w:rsid w:val="00233F0A"/>
    <w:rsid w:val="0023404D"/>
    <w:rsid w:val="00234432"/>
    <w:rsid w:val="00234A4A"/>
    <w:rsid w:val="00234FA5"/>
    <w:rsid w:val="00234FD9"/>
    <w:rsid w:val="00235624"/>
    <w:rsid w:val="00235A91"/>
    <w:rsid w:val="00235C81"/>
    <w:rsid w:val="00235EF4"/>
    <w:rsid w:val="00236547"/>
    <w:rsid w:val="002367C7"/>
    <w:rsid w:val="0023683F"/>
    <w:rsid w:val="002368A5"/>
    <w:rsid w:val="0023701C"/>
    <w:rsid w:val="0023730D"/>
    <w:rsid w:val="0023775D"/>
    <w:rsid w:val="00237CF4"/>
    <w:rsid w:val="00237DFB"/>
    <w:rsid w:val="00237E1C"/>
    <w:rsid w:val="00240233"/>
    <w:rsid w:val="002404E0"/>
    <w:rsid w:val="00240507"/>
    <w:rsid w:val="00240BFA"/>
    <w:rsid w:val="00240E20"/>
    <w:rsid w:val="00240F26"/>
    <w:rsid w:val="002423D5"/>
    <w:rsid w:val="002434D4"/>
    <w:rsid w:val="00243577"/>
    <w:rsid w:val="002437F8"/>
    <w:rsid w:val="00243B98"/>
    <w:rsid w:val="00244006"/>
    <w:rsid w:val="00244034"/>
    <w:rsid w:val="00244151"/>
    <w:rsid w:val="002442A6"/>
    <w:rsid w:val="00244320"/>
    <w:rsid w:val="00244492"/>
    <w:rsid w:val="00244584"/>
    <w:rsid w:val="00244F15"/>
    <w:rsid w:val="00244F1A"/>
    <w:rsid w:val="00245427"/>
    <w:rsid w:val="00245452"/>
    <w:rsid w:val="0024568B"/>
    <w:rsid w:val="00245C40"/>
    <w:rsid w:val="00245D11"/>
    <w:rsid w:val="0024688E"/>
    <w:rsid w:val="002469F1"/>
    <w:rsid w:val="00246CB4"/>
    <w:rsid w:val="0024737A"/>
    <w:rsid w:val="002476C2"/>
    <w:rsid w:val="002477E3"/>
    <w:rsid w:val="00247A4A"/>
    <w:rsid w:val="00247AFC"/>
    <w:rsid w:val="00247BC1"/>
    <w:rsid w:val="00250072"/>
    <w:rsid w:val="002505F4"/>
    <w:rsid w:val="00250704"/>
    <w:rsid w:val="00250721"/>
    <w:rsid w:val="00250F1F"/>
    <w:rsid w:val="00251375"/>
    <w:rsid w:val="002513DE"/>
    <w:rsid w:val="00251914"/>
    <w:rsid w:val="00252271"/>
    <w:rsid w:val="00252433"/>
    <w:rsid w:val="00252797"/>
    <w:rsid w:val="00252BAB"/>
    <w:rsid w:val="00253422"/>
    <w:rsid w:val="002535A8"/>
    <w:rsid w:val="0025387D"/>
    <w:rsid w:val="002538B0"/>
    <w:rsid w:val="00253D94"/>
    <w:rsid w:val="002540BF"/>
    <w:rsid w:val="0025496C"/>
    <w:rsid w:val="00254CB1"/>
    <w:rsid w:val="00254DAD"/>
    <w:rsid w:val="00254F3C"/>
    <w:rsid w:val="00255047"/>
    <w:rsid w:val="0025560F"/>
    <w:rsid w:val="00255DCC"/>
    <w:rsid w:val="00255F35"/>
    <w:rsid w:val="00255F58"/>
    <w:rsid w:val="00256078"/>
    <w:rsid w:val="002560AA"/>
    <w:rsid w:val="0025617D"/>
    <w:rsid w:val="0025677A"/>
    <w:rsid w:val="00257E95"/>
    <w:rsid w:val="00257EAE"/>
    <w:rsid w:val="00260348"/>
    <w:rsid w:val="00260626"/>
    <w:rsid w:val="002609DA"/>
    <w:rsid w:val="00260D7C"/>
    <w:rsid w:val="00261222"/>
    <w:rsid w:val="00261474"/>
    <w:rsid w:val="00261509"/>
    <w:rsid w:val="002619C3"/>
    <w:rsid w:val="00261EED"/>
    <w:rsid w:val="00262209"/>
    <w:rsid w:val="0026266F"/>
    <w:rsid w:val="002629D8"/>
    <w:rsid w:val="00262ACB"/>
    <w:rsid w:val="00262FFC"/>
    <w:rsid w:val="002635C0"/>
    <w:rsid w:val="00263793"/>
    <w:rsid w:val="00263E99"/>
    <w:rsid w:val="002642CC"/>
    <w:rsid w:val="00264732"/>
    <w:rsid w:val="002649DB"/>
    <w:rsid w:val="00264A89"/>
    <w:rsid w:val="00264CE9"/>
    <w:rsid w:val="00264D27"/>
    <w:rsid w:val="00264F2D"/>
    <w:rsid w:val="00265A9B"/>
    <w:rsid w:val="00265B32"/>
    <w:rsid w:val="00266132"/>
    <w:rsid w:val="0026622D"/>
    <w:rsid w:val="00266775"/>
    <w:rsid w:val="00266B37"/>
    <w:rsid w:val="00266C73"/>
    <w:rsid w:val="00266F57"/>
    <w:rsid w:val="00266FA3"/>
    <w:rsid w:val="00267176"/>
    <w:rsid w:val="002674DA"/>
    <w:rsid w:val="0026779D"/>
    <w:rsid w:val="002678C6"/>
    <w:rsid w:val="00267ABA"/>
    <w:rsid w:val="00267BC7"/>
    <w:rsid w:val="00267DD1"/>
    <w:rsid w:val="00267EE5"/>
    <w:rsid w:val="002701D1"/>
    <w:rsid w:val="002703CB"/>
    <w:rsid w:val="0027052F"/>
    <w:rsid w:val="00270DFF"/>
    <w:rsid w:val="002713CB"/>
    <w:rsid w:val="0027187D"/>
    <w:rsid w:val="002718BF"/>
    <w:rsid w:val="00271CDF"/>
    <w:rsid w:val="00271E18"/>
    <w:rsid w:val="0027263D"/>
    <w:rsid w:val="00272731"/>
    <w:rsid w:val="00272D37"/>
    <w:rsid w:val="00272E23"/>
    <w:rsid w:val="00273434"/>
    <w:rsid w:val="00273516"/>
    <w:rsid w:val="00273843"/>
    <w:rsid w:val="0027387B"/>
    <w:rsid w:val="002742C8"/>
    <w:rsid w:val="00274340"/>
    <w:rsid w:val="0027455C"/>
    <w:rsid w:val="002747A5"/>
    <w:rsid w:val="002747AE"/>
    <w:rsid w:val="00274B67"/>
    <w:rsid w:val="0027535D"/>
    <w:rsid w:val="00275506"/>
    <w:rsid w:val="00275777"/>
    <w:rsid w:val="00275997"/>
    <w:rsid w:val="00276557"/>
    <w:rsid w:val="00276596"/>
    <w:rsid w:val="00276936"/>
    <w:rsid w:val="00277690"/>
    <w:rsid w:val="002777ED"/>
    <w:rsid w:val="00277A41"/>
    <w:rsid w:val="002800C8"/>
    <w:rsid w:val="0028043D"/>
    <w:rsid w:val="0028077E"/>
    <w:rsid w:val="002808E5"/>
    <w:rsid w:val="00280985"/>
    <w:rsid w:val="00280A80"/>
    <w:rsid w:val="00280FD6"/>
    <w:rsid w:val="00281312"/>
    <w:rsid w:val="00281596"/>
    <w:rsid w:val="00281F61"/>
    <w:rsid w:val="002820A7"/>
    <w:rsid w:val="002820D1"/>
    <w:rsid w:val="0028241A"/>
    <w:rsid w:val="002824CC"/>
    <w:rsid w:val="00282519"/>
    <w:rsid w:val="002826DC"/>
    <w:rsid w:val="00282874"/>
    <w:rsid w:val="00282AA2"/>
    <w:rsid w:val="00282AB9"/>
    <w:rsid w:val="00282C46"/>
    <w:rsid w:val="00282DD1"/>
    <w:rsid w:val="00283288"/>
    <w:rsid w:val="0028344D"/>
    <w:rsid w:val="002838FF"/>
    <w:rsid w:val="00283A79"/>
    <w:rsid w:val="00283C7E"/>
    <w:rsid w:val="00283FD6"/>
    <w:rsid w:val="00283FFC"/>
    <w:rsid w:val="0028416D"/>
    <w:rsid w:val="0028423B"/>
    <w:rsid w:val="002844E9"/>
    <w:rsid w:val="00284701"/>
    <w:rsid w:val="002847C0"/>
    <w:rsid w:val="0028499E"/>
    <w:rsid w:val="00284BA3"/>
    <w:rsid w:val="00284BE6"/>
    <w:rsid w:val="002850B5"/>
    <w:rsid w:val="00285200"/>
    <w:rsid w:val="0028528A"/>
    <w:rsid w:val="0028584D"/>
    <w:rsid w:val="00285956"/>
    <w:rsid w:val="00285E39"/>
    <w:rsid w:val="002860FE"/>
    <w:rsid w:val="002861BE"/>
    <w:rsid w:val="00286A7D"/>
    <w:rsid w:val="00286B1E"/>
    <w:rsid w:val="0028706A"/>
    <w:rsid w:val="00287286"/>
    <w:rsid w:val="0029003E"/>
    <w:rsid w:val="0029017C"/>
    <w:rsid w:val="0029018F"/>
    <w:rsid w:val="00290332"/>
    <w:rsid w:val="00290404"/>
    <w:rsid w:val="00290467"/>
    <w:rsid w:val="00290511"/>
    <w:rsid w:val="0029068A"/>
    <w:rsid w:val="002909FF"/>
    <w:rsid w:val="002911E5"/>
    <w:rsid w:val="00291530"/>
    <w:rsid w:val="002917E3"/>
    <w:rsid w:val="00291902"/>
    <w:rsid w:val="00291BE4"/>
    <w:rsid w:val="00291CED"/>
    <w:rsid w:val="00291D17"/>
    <w:rsid w:val="0029209F"/>
    <w:rsid w:val="0029262D"/>
    <w:rsid w:val="00292733"/>
    <w:rsid w:val="00292BC9"/>
    <w:rsid w:val="00292D03"/>
    <w:rsid w:val="00292DDF"/>
    <w:rsid w:val="00292E6B"/>
    <w:rsid w:val="00293155"/>
    <w:rsid w:val="00293560"/>
    <w:rsid w:val="0029379E"/>
    <w:rsid w:val="002937E9"/>
    <w:rsid w:val="00293AB6"/>
    <w:rsid w:val="00293DBE"/>
    <w:rsid w:val="002944ED"/>
    <w:rsid w:val="002947F9"/>
    <w:rsid w:val="002948EA"/>
    <w:rsid w:val="00294B52"/>
    <w:rsid w:val="00294D5D"/>
    <w:rsid w:val="00294E90"/>
    <w:rsid w:val="0029559B"/>
    <w:rsid w:val="002955F6"/>
    <w:rsid w:val="0029567F"/>
    <w:rsid w:val="002971BA"/>
    <w:rsid w:val="00297361"/>
    <w:rsid w:val="002973D3"/>
    <w:rsid w:val="00297915"/>
    <w:rsid w:val="00297954"/>
    <w:rsid w:val="002A04ED"/>
    <w:rsid w:val="002A0AAB"/>
    <w:rsid w:val="002A0E59"/>
    <w:rsid w:val="002A0EE7"/>
    <w:rsid w:val="002A1136"/>
    <w:rsid w:val="002A13CC"/>
    <w:rsid w:val="002A1538"/>
    <w:rsid w:val="002A171D"/>
    <w:rsid w:val="002A1D27"/>
    <w:rsid w:val="002A1D74"/>
    <w:rsid w:val="002A25B6"/>
    <w:rsid w:val="002A28EA"/>
    <w:rsid w:val="002A29EB"/>
    <w:rsid w:val="002A2BCC"/>
    <w:rsid w:val="002A2C50"/>
    <w:rsid w:val="002A2E9E"/>
    <w:rsid w:val="002A3248"/>
    <w:rsid w:val="002A33C5"/>
    <w:rsid w:val="002A33FD"/>
    <w:rsid w:val="002A3762"/>
    <w:rsid w:val="002A3B43"/>
    <w:rsid w:val="002A41E9"/>
    <w:rsid w:val="002A45DC"/>
    <w:rsid w:val="002A4799"/>
    <w:rsid w:val="002A48FC"/>
    <w:rsid w:val="002A4CBA"/>
    <w:rsid w:val="002A5D6C"/>
    <w:rsid w:val="002A5FD3"/>
    <w:rsid w:val="002A6281"/>
    <w:rsid w:val="002A62C6"/>
    <w:rsid w:val="002A6361"/>
    <w:rsid w:val="002A6D3F"/>
    <w:rsid w:val="002A6E58"/>
    <w:rsid w:val="002A74F3"/>
    <w:rsid w:val="002A7891"/>
    <w:rsid w:val="002A7896"/>
    <w:rsid w:val="002A7900"/>
    <w:rsid w:val="002A7C80"/>
    <w:rsid w:val="002A7D30"/>
    <w:rsid w:val="002A7F7D"/>
    <w:rsid w:val="002B02CE"/>
    <w:rsid w:val="002B02FD"/>
    <w:rsid w:val="002B0355"/>
    <w:rsid w:val="002B1796"/>
    <w:rsid w:val="002B1DB5"/>
    <w:rsid w:val="002B1E17"/>
    <w:rsid w:val="002B23BF"/>
    <w:rsid w:val="002B23C8"/>
    <w:rsid w:val="002B249C"/>
    <w:rsid w:val="002B2E48"/>
    <w:rsid w:val="002B2F1A"/>
    <w:rsid w:val="002B2F50"/>
    <w:rsid w:val="002B2F5F"/>
    <w:rsid w:val="002B3090"/>
    <w:rsid w:val="002B31D8"/>
    <w:rsid w:val="002B3573"/>
    <w:rsid w:val="002B35EF"/>
    <w:rsid w:val="002B367F"/>
    <w:rsid w:val="002B3867"/>
    <w:rsid w:val="002B38ED"/>
    <w:rsid w:val="002B3940"/>
    <w:rsid w:val="002B39EA"/>
    <w:rsid w:val="002B3AA2"/>
    <w:rsid w:val="002B3AAB"/>
    <w:rsid w:val="002B3BB7"/>
    <w:rsid w:val="002B3CA1"/>
    <w:rsid w:val="002B402A"/>
    <w:rsid w:val="002B4422"/>
    <w:rsid w:val="002B483B"/>
    <w:rsid w:val="002B4D8E"/>
    <w:rsid w:val="002B598E"/>
    <w:rsid w:val="002B59EC"/>
    <w:rsid w:val="002B5DD3"/>
    <w:rsid w:val="002B6031"/>
    <w:rsid w:val="002B60CF"/>
    <w:rsid w:val="002B630B"/>
    <w:rsid w:val="002B69DC"/>
    <w:rsid w:val="002B6A1B"/>
    <w:rsid w:val="002B709E"/>
    <w:rsid w:val="002B75C2"/>
    <w:rsid w:val="002B78F4"/>
    <w:rsid w:val="002B7B76"/>
    <w:rsid w:val="002B7CED"/>
    <w:rsid w:val="002B7E4F"/>
    <w:rsid w:val="002B7F16"/>
    <w:rsid w:val="002C02AE"/>
    <w:rsid w:val="002C0351"/>
    <w:rsid w:val="002C063D"/>
    <w:rsid w:val="002C0C7A"/>
    <w:rsid w:val="002C0E4D"/>
    <w:rsid w:val="002C15B3"/>
    <w:rsid w:val="002C15CB"/>
    <w:rsid w:val="002C1664"/>
    <w:rsid w:val="002C2332"/>
    <w:rsid w:val="002C2CBE"/>
    <w:rsid w:val="002C2D05"/>
    <w:rsid w:val="002C308C"/>
    <w:rsid w:val="002C35BB"/>
    <w:rsid w:val="002C38FD"/>
    <w:rsid w:val="002C3A50"/>
    <w:rsid w:val="002C40D2"/>
    <w:rsid w:val="002C427B"/>
    <w:rsid w:val="002C461B"/>
    <w:rsid w:val="002C4AA0"/>
    <w:rsid w:val="002C5236"/>
    <w:rsid w:val="002C540D"/>
    <w:rsid w:val="002C5761"/>
    <w:rsid w:val="002C5851"/>
    <w:rsid w:val="002C5F10"/>
    <w:rsid w:val="002C6324"/>
    <w:rsid w:val="002C67F6"/>
    <w:rsid w:val="002C6B0D"/>
    <w:rsid w:val="002C6BC1"/>
    <w:rsid w:val="002C6CF9"/>
    <w:rsid w:val="002C6EA2"/>
    <w:rsid w:val="002C6F60"/>
    <w:rsid w:val="002C71F5"/>
    <w:rsid w:val="002C75DE"/>
    <w:rsid w:val="002C7DD4"/>
    <w:rsid w:val="002C7EB6"/>
    <w:rsid w:val="002D0157"/>
    <w:rsid w:val="002D0A7A"/>
    <w:rsid w:val="002D0C55"/>
    <w:rsid w:val="002D0C95"/>
    <w:rsid w:val="002D1360"/>
    <w:rsid w:val="002D14C9"/>
    <w:rsid w:val="002D1635"/>
    <w:rsid w:val="002D1806"/>
    <w:rsid w:val="002D1939"/>
    <w:rsid w:val="002D2267"/>
    <w:rsid w:val="002D2495"/>
    <w:rsid w:val="002D287E"/>
    <w:rsid w:val="002D2960"/>
    <w:rsid w:val="002D29A4"/>
    <w:rsid w:val="002D29D0"/>
    <w:rsid w:val="002D2AA6"/>
    <w:rsid w:val="002D3086"/>
    <w:rsid w:val="002D3751"/>
    <w:rsid w:val="002D37D9"/>
    <w:rsid w:val="002D3882"/>
    <w:rsid w:val="002D3B85"/>
    <w:rsid w:val="002D3BB6"/>
    <w:rsid w:val="002D3C20"/>
    <w:rsid w:val="002D3E50"/>
    <w:rsid w:val="002D43D7"/>
    <w:rsid w:val="002D45C2"/>
    <w:rsid w:val="002D4748"/>
    <w:rsid w:val="002D4A2B"/>
    <w:rsid w:val="002D4ADA"/>
    <w:rsid w:val="002D4B45"/>
    <w:rsid w:val="002D4C2E"/>
    <w:rsid w:val="002D4E05"/>
    <w:rsid w:val="002D4F8B"/>
    <w:rsid w:val="002D50E6"/>
    <w:rsid w:val="002D543C"/>
    <w:rsid w:val="002D5532"/>
    <w:rsid w:val="002D55BD"/>
    <w:rsid w:val="002D57B4"/>
    <w:rsid w:val="002D5958"/>
    <w:rsid w:val="002D59D8"/>
    <w:rsid w:val="002D5DAD"/>
    <w:rsid w:val="002D5EB3"/>
    <w:rsid w:val="002D5FDF"/>
    <w:rsid w:val="002D6159"/>
    <w:rsid w:val="002D61A1"/>
    <w:rsid w:val="002D697F"/>
    <w:rsid w:val="002D6AB6"/>
    <w:rsid w:val="002D6B3F"/>
    <w:rsid w:val="002D6F98"/>
    <w:rsid w:val="002D7170"/>
    <w:rsid w:val="002D71FB"/>
    <w:rsid w:val="002D73A6"/>
    <w:rsid w:val="002D7472"/>
    <w:rsid w:val="002D7551"/>
    <w:rsid w:val="002D76D7"/>
    <w:rsid w:val="002D7A84"/>
    <w:rsid w:val="002D7AF2"/>
    <w:rsid w:val="002D7D3A"/>
    <w:rsid w:val="002D7FA8"/>
    <w:rsid w:val="002E04BB"/>
    <w:rsid w:val="002E0569"/>
    <w:rsid w:val="002E0B0B"/>
    <w:rsid w:val="002E0E85"/>
    <w:rsid w:val="002E1054"/>
    <w:rsid w:val="002E1548"/>
    <w:rsid w:val="002E17CC"/>
    <w:rsid w:val="002E199E"/>
    <w:rsid w:val="002E2589"/>
    <w:rsid w:val="002E2C8A"/>
    <w:rsid w:val="002E2E58"/>
    <w:rsid w:val="002E2F45"/>
    <w:rsid w:val="002E30A0"/>
    <w:rsid w:val="002E32AB"/>
    <w:rsid w:val="002E333F"/>
    <w:rsid w:val="002E34B6"/>
    <w:rsid w:val="002E3AF3"/>
    <w:rsid w:val="002E3B09"/>
    <w:rsid w:val="002E3E41"/>
    <w:rsid w:val="002E3E68"/>
    <w:rsid w:val="002E4026"/>
    <w:rsid w:val="002E49C3"/>
    <w:rsid w:val="002E4B21"/>
    <w:rsid w:val="002E5210"/>
    <w:rsid w:val="002E5414"/>
    <w:rsid w:val="002E55EE"/>
    <w:rsid w:val="002E5705"/>
    <w:rsid w:val="002E584A"/>
    <w:rsid w:val="002E596E"/>
    <w:rsid w:val="002E5BEE"/>
    <w:rsid w:val="002E5E2B"/>
    <w:rsid w:val="002E634A"/>
    <w:rsid w:val="002E639C"/>
    <w:rsid w:val="002E63DD"/>
    <w:rsid w:val="002E6477"/>
    <w:rsid w:val="002E66B3"/>
    <w:rsid w:val="002E677C"/>
    <w:rsid w:val="002E6855"/>
    <w:rsid w:val="002E6E3A"/>
    <w:rsid w:val="002E6F34"/>
    <w:rsid w:val="002E706F"/>
    <w:rsid w:val="002E71FF"/>
    <w:rsid w:val="002E73EA"/>
    <w:rsid w:val="002E750D"/>
    <w:rsid w:val="002E7D63"/>
    <w:rsid w:val="002F0157"/>
    <w:rsid w:val="002F01A5"/>
    <w:rsid w:val="002F0A04"/>
    <w:rsid w:val="002F0AE2"/>
    <w:rsid w:val="002F0E99"/>
    <w:rsid w:val="002F0F15"/>
    <w:rsid w:val="002F10D6"/>
    <w:rsid w:val="002F11E0"/>
    <w:rsid w:val="002F129B"/>
    <w:rsid w:val="002F19F2"/>
    <w:rsid w:val="002F1F8C"/>
    <w:rsid w:val="002F2065"/>
    <w:rsid w:val="002F20A0"/>
    <w:rsid w:val="002F20D0"/>
    <w:rsid w:val="002F2227"/>
    <w:rsid w:val="002F2308"/>
    <w:rsid w:val="002F23F4"/>
    <w:rsid w:val="002F288F"/>
    <w:rsid w:val="002F2BCA"/>
    <w:rsid w:val="002F2FE4"/>
    <w:rsid w:val="002F3362"/>
    <w:rsid w:val="002F3735"/>
    <w:rsid w:val="002F375F"/>
    <w:rsid w:val="002F3774"/>
    <w:rsid w:val="002F37F2"/>
    <w:rsid w:val="002F3918"/>
    <w:rsid w:val="002F39F5"/>
    <w:rsid w:val="002F3A35"/>
    <w:rsid w:val="002F3A74"/>
    <w:rsid w:val="002F3C53"/>
    <w:rsid w:val="002F3DB1"/>
    <w:rsid w:val="002F430C"/>
    <w:rsid w:val="002F4444"/>
    <w:rsid w:val="002F4BBB"/>
    <w:rsid w:val="002F4F91"/>
    <w:rsid w:val="002F52C8"/>
    <w:rsid w:val="002F56F2"/>
    <w:rsid w:val="002F571D"/>
    <w:rsid w:val="002F572F"/>
    <w:rsid w:val="002F585A"/>
    <w:rsid w:val="002F5D77"/>
    <w:rsid w:val="002F6175"/>
    <w:rsid w:val="002F61CC"/>
    <w:rsid w:val="002F626D"/>
    <w:rsid w:val="002F6955"/>
    <w:rsid w:val="002F6AB0"/>
    <w:rsid w:val="002F6C6A"/>
    <w:rsid w:val="002F6FE0"/>
    <w:rsid w:val="002F7152"/>
    <w:rsid w:val="002F76AE"/>
    <w:rsid w:val="002F79F1"/>
    <w:rsid w:val="003000AF"/>
    <w:rsid w:val="003001E5"/>
    <w:rsid w:val="003003F8"/>
    <w:rsid w:val="0030048D"/>
    <w:rsid w:val="0030087B"/>
    <w:rsid w:val="00300A50"/>
    <w:rsid w:val="00301080"/>
    <w:rsid w:val="003016CC"/>
    <w:rsid w:val="00301843"/>
    <w:rsid w:val="003018C9"/>
    <w:rsid w:val="00301A10"/>
    <w:rsid w:val="00301D4F"/>
    <w:rsid w:val="00301F88"/>
    <w:rsid w:val="003020FB"/>
    <w:rsid w:val="0030237E"/>
    <w:rsid w:val="00302688"/>
    <w:rsid w:val="0030291A"/>
    <w:rsid w:val="00302B0C"/>
    <w:rsid w:val="003031B3"/>
    <w:rsid w:val="00303C19"/>
    <w:rsid w:val="00303DF7"/>
    <w:rsid w:val="00304148"/>
    <w:rsid w:val="0030469B"/>
    <w:rsid w:val="00304A26"/>
    <w:rsid w:val="00304B4F"/>
    <w:rsid w:val="00304DA2"/>
    <w:rsid w:val="00305092"/>
    <w:rsid w:val="003050AE"/>
    <w:rsid w:val="00305948"/>
    <w:rsid w:val="00305F3D"/>
    <w:rsid w:val="00306077"/>
    <w:rsid w:val="00306810"/>
    <w:rsid w:val="003069C2"/>
    <w:rsid w:val="00306C78"/>
    <w:rsid w:val="003071D4"/>
    <w:rsid w:val="00307630"/>
    <w:rsid w:val="00307A78"/>
    <w:rsid w:val="00307B89"/>
    <w:rsid w:val="00307BD5"/>
    <w:rsid w:val="00310244"/>
    <w:rsid w:val="003107D9"/>
    <w:rsid w:val="0031089C"/>
    <w:rsid w:val="00310BE1"/>
    <w:rsid w:val="00310E90"/>
    <w:rsid w:val="00310FB3"/>
    <w:rsid w:val="00311470"/>
    <w:rsid w:val="00311D0B"/>
    <w:rsid w:val="00311D2C"/>
    <w:rsid w:val="00311E13"/>
    <w:rsid w:val="00311F1D"/>
    <w:rsid w:val="0031224A"/>
    <w:rsid w:val="00312596"/>
    <w:rsid w:val="0031289A"/>
    <w:rsid w:val="00312BBA"/>
    <w:rsid w:val="00312D3B"/>
    <w:rsid w:val="00313226"/>
    <w:rsid w:val="003133BC"/>
    <w:rsid w:val="00313622"/>
    <w:rsid w:val="00313F33"/>
    <w:rsid w:val="00313FC6"/>
    <w:rsid w:val="00313FED"/>
    <w:rsid w:val="0031430F"/>
    <w:rsid w:val="00314375"/>
    <w:rsid w:val="003148C0"/>
    <w:rsid w:val="00314A51"/>
    <w:rsid w:val="00314A6B"/>
    <w:rsid w:val="00314C46"/>
    <w:rsid w:val="00314CAE"/>
    <w:rsid w:val="0031510E"/>
    <w:rsid w:val="00315573"/>
    <w:rsid w:val="003155C9"/>
    <w:rsid w:val="0031614A"/>
    <w:rsid w:val="003163AA"/>
    <w:rsid w:val="00316448"/>
    <w:rsid w:val="0031647C"/>
    <w:rsid w:val="00316824"/>
    <w:rsid w:val="0031699E"/>
    <w:rsid w:val="00316BEC"/>
    <w:rsid w:val="00316BFB"/>
    <w:rsid w:val="00316D5D"/>
    <w:rsid w:val="00316DF0"/>
    <w:rsid w:val="003173C6"/>
    <w:rsid w:val="003173F7"/>
    <w:rsid w:val="00317474"/>
    <w:rsid w:val="003179FC"/>
    <w:rsid w:val="00317C9A"/>
    <w:rsid w:val="0032069D"/>
    <w:rsid w:val="00320723"/>
    <w:rsid w:val="0032080C"/>
    <w:rsid w:val="00320929"/>
    <w:rsid w:val="00320A5F"/>
    <w:rsid w:val="00320CC9"/>
    <w:rsid w:val="00320F76"/>
    <w:rsid w:val="003210F7"/>
    <w:rsid w:val="0032145A"/>
    <w:rsid w:val="003219A2"/>
    <w:rsid w:val="003220A5"/>
    <w:rsid w:val="003220F3"/>
    <w:rsid w:val="00322148"/>
    <w:rsid w:val="00322388"/>
    <w:rsid w:val="003225E8"/>
    <w:rsid w:val="0032297F"/>
    <w:rsid w:val="0032303D"/>
    <w:rsid w:val="00323665"/>
    <w:rsid w:val="00323C6F"/>
    <w:rsid w:val="00323F39"/>
    <w:rsid w:val="00324266"/>
    <w:rsid w:val="0032435A"/>
    <w:rsid w:val="003244C1"/>
    <w:rsid w:val="003247BB"/>
    <w:rsid w:val="00324974"/>
    <w:rsid w:val="00325164"/>
    <w:rsid w:val="0032529A"/>
    <w:rsid w:val="00325892"/>
    <w:rsid w:val="0032662E"/>
    <w:rsid w:val="0032671A"/>
    <w:rsid w:val="00327006"/>
    <w:rsid w:val="0032713D"/>
    <w:rsid w:val="003273B6"/>
    <w:rsid w:val="00327E71"/>
    <w:rsid w:val="003300AB"/>
    <w:rsid w:val="003301F1"/>
    <w:rsid w:val="003308DC"/>
    <w:rsid w:val="003309DC"/>
    <w:rsid w:val="00330B97"/>
    <w:rsid w:val="00330DCB"/>
    <w:rsid w:val="003328A3"/>
    <w:rsid w:val="00332C6B"/>
    <w:rsid w:val="00332E20"/>
    <w:rsid w:val="003331D6"/>
    <w:rsid w:val="003336E8"/>
    <w:rsid w:val="003338BD"/>
    <w:rsid w:val="003340CF"/>
    <w:rsid w:val="003343F1"/>
    <w:rsid w:val="0033450C"/>
    <w:rsid w:val="003349EC"/>
    <w:rsid w:val="00334D5E"/>
    <w:rsid w:val="00334DFE"/>
    <w:rsid w:val="003354C8"/>
    <w:rsid w:val="00335919"/>
    <w:rsid w:val="00335B0C"/>
    <w:rsid w:val="00335CAF"/>
    <w:rsid w:val="00336A70"/>
    <w:rsid w:val="00336A9A"/>
    <w:rsid w:val="00336B66"/>
    <w:rsid w:val="00336EC4"/>
    <w:rsid w:val="00336F74"/>
    <w:rsid w:val="00336FEA"/>
    <w:rsid w:val="00337489"/>
    <w:rsid w:val="00337724"/>
    <w:rsid w:val="00337EF2"/>
    <w:rsid w:val="00340120"/>
    <w:rsid w:val="00340122"/>
    <w:rsid w:val="003401B9"/>
    <w:rsid w:val="0034087B"/>
    <w:rsid w:val="003409E9"/>
    <w:rsid w:val="00340A23"/>
    <w:rsid w:val="00340F14"/>
    <w:rsid w:val="00341481"/>
    <w:rsid w:val="003414D1"/>
    <w:rsid w:val="003416E0"/>
    <w:rsid w:val="003417BD"/>
    <w:rsid w:val="003418D4"/>
    <w:rsid w:val="00341AFC"/>
    <w:rsid w:val="00341ECA"/>
    <w:rsid w:val="00341F22"/>
    <w:rsid w:val="00342179"/>
    <w:rsid w:val="003426A7"/>
    <w:rsid w:val="00342B2D"/>
    <w:rsid w:val="003434A0"/>
    <w:rsid w:val="00343504"/>
    <w:rsid w:val="00343946"/>
    <w:rsid w:val="00343DE6"/>
    <w:rsid w:val="00344059"/>
    <w:rsid w:val="003440A0"/>
    <w:rsid w:val="003443EC"/>
    <w:rsid w:val="0034475A"/>
    <w:rsid w:val="00344CAA"/>
    <w:rsid w:val="003451C1"/>
    <w:rsid w:val="003452A8"/>
    <w:rsid w:val="0034561D"/>
    <w:rsid w:val="003456E4"/>
    <w:rsid w:val="00345715"/>
    <w:rsid w:val="00345B10"/>
    <w:rsid w:val="00345CEF"/>
    <w:rsid w:val="00346844"/>
    <w:rsid w:val="00346DD3"/>
    <w:rsid w:val="003470FB"/>
    <w:rsid w:val="003471BB"/>
    <w:rsid w:val="0034776B"/>
    <w:rsid w:val="0034797D"/>
    <w:rsid w:val="00347984"/>
    <w:rsid w:val="00347A7C"/>
    <w:rsid w:val="00347D1B"/>
    <w:rsid w:val="00347DF1"/>
    <w:rsid w:val="00350052"/>
    <w:rsid w:val="0035010D"/>
    <w:rsid w:val="00350538"/>
    <w:rsid w:val="00350616"/>
    <w:rsid w:val="00350C3A"/>
    <w:rsid w:val="00350FE2"/>
    <w:rsid w:val="00351162"/>
    <w:rsid w:val="003511A0"/>
    <w:rsid w:val="00351F38"/>
    <w:rsid w:val="00351F45"/>
    <w:rsid w:val="0035247F"/>
    <w:rsid w:val="0035267D"/>
    <w:rsid w:val="0035286C"/>
    <w:rsid w:val="0035298F"/>
    <w:rsid w:val="00352E43"/>
    <w:rsid w:val="003538EC"/>
    <w:rsid w:val="00353DA9"/>
    <w:rsid w:val="00353DEE"/>
    <w:rsid w:val="00353E4C"/>
    <w:rsid w:val="00353F6C"/>
    <w:rsid w:val="003543A8"/>
    <w:rsid w:val="00354F97"/>
    <w:rsid w:val="00354FC6"/>
    <w:rsid w:val="003556C7"/>
    <w:rsid w:val="003559DA"/>
    <w:rsid w:val="00356179"/>
    <w:rsid w:val="0035687E"/>
    <w:rsid w:val="003571E0"/>
    <w:rsid w:val="00357429"/>
    <w:rsid w:val="003575F5"/>
    <w:rsid w:val="003577A0"/>
    <w:rsid w:val="00357914"/>
    <w:rsid w:val="00360104"/>
    <w:rsid w:val="0036041C"/>
    <w:rsid w:val="003604D9"/>
    <w:rsid w:val="00360805"/>
    <w:rsid w:val="00360A29"/>
    <w:rsid w:val="00360A53"/>
    <w:rsid w:val="00360C56"/>
    <w:rsid w:val="00360CEA"/>
    <w:rsid w:val="00361015"/>
    <w:rsid w:val="00361081"/>
    <w:rsid w:val="0036126A"/>
    <w:rsid w:val="00361280"/>
    <w:rsid w:val="0036164D"/>
    <w:rsid w:val="00361ED2"/>
    <w:rsid w:val="003622C3"/>
    <w:rsid w:val="003623FE"/>
    <w:rsid w:val="00362600"/>
    <w:rsid w:val="0036279B"/>
    <w:rsid w:val="00362877"/>
    <w:rsid w:val="00362A1E"/>
    <w:rsid w:val="00362ED3"/>
    <w:rsid w:val="003630E1"/>
    <w:rsid w:val="003632CC"/>
    <w:rsid w:val="00363315"/>
    <w:rsid w:val="0036338F"/>
    <w:rsid w:val="00363441"/>
    <w:rsid w:val="00363805"/>
    <w:rsid w:val="00363A68"/>
    <w:rsid w:val="00363AE1"/>
    <w:rsid w:val="00363BF3"/>
    <w:rsid w:val="00363E41"/>
    <w:rsid w:val="00364B08"/>
    <w:rsid w:val="00364C10"/>
    <w:rsid w:val="00365C5E"/>
    <w:rsid w:val="00365C9B"/>
    <w:rsid w:val="00365E4D"/>
    <w:rsid w:val="00366380"/>
    <w:rsid w:val="00366677"/>
    <w:rsid w:val="003666E6"/>
    <w:rsid w:val="00366989"/>
    <w:rsid w:val="00366CA5"/>
    <w:rsid w:val="00367388"/>
    <w:rsid w:val="00367611"/>
    <w:rsid w:val="0036761F"/>
    <w:rsid w:val="0036767A"/>
    <w:rsid w:val="0036783C"/>
    <w:rsid w:val="00367B99"/>
    <w:rsid w:val="0037002A"/>
    <w:rsid w:val="0037015C"/>
    <w:rsid w:val="0037084C"/>
    <w:rsid w:val="00370BF4"/>
    <w:rsid w:val="00370D7D"/>
    <w:rsid w:val="0037118E"/>
    <w:rsid w:val="0037156D"/>
    <w:rsid w:val="00371619"/>
    <w:rsid w:val="00372412"/>
    <w:rsid w:val="00372568"/>
    <w:rsid w:val="00372DFE"/>
    <w:rsid w:val="0037331E"/>
    <w:rsid w:val="00373786"/>
    <w:rsid w:val="003739A7"/>
    <w:rsid w:val="00373B05"/>
    <w:rsid w:val="00373C5A"/>
    <w:rsid w:val="00373EBE"/>
    <w:rsid w:val="00373F27"/>
    <w:rsid w:val="0037436B"/>
    <w:rsid w:val="00374788"/>
    <w:rsid w:val="003747D2"/>
    <w:rsid w:val="003748D5"/>
    <w:rsid w:val="00374B23"/>
    <w:rsid w:val="00374DA1"/>
    <w:rsid w:val="003750D2"/>
    <w:rsid w:val="00375687"/>
    <w:rsid w:val="00375869"/>
    <w:rsid w:val="003759B4"/>
    <w:rsid w:val="00375AB2"/>
    <w:rsid w:val="00375B14"/>
    <w:rsid w:val="00375F18"/>
    <w:rsid w:val="003763B3"/>
    <w:rsid w:val="003763EE"/>
    <w:rsid w:val="0037640F"/>
    <w:rsid w:val="00376455"/>
    <w:rsid w:val="003765B8"/>
    <w:rsid w:val="00376614"/>
    <w:rsid w:val="003767DE"/>
    <w:rsid w:val="0037715D"/>
    <w:rsid w:val="0037730B"/>
    <w:rsid w:val="00377516"/>
    <w:rsid w:val="0037797B"/>
    <w:rsid w:val="00377A7F"/>
    <w:rsid w:val="00377C7F"/>
    <w:rsid w:val="003800B6"/>
    <w:rsid w:val="0038038E"/>
    <w:rsid w:val="003803B5"/>
    <w:rsid w:val="003807BB"/>
    <w:rsid w:val="0038094F"/>
    <w:rsid w:val="003809E7"/>
    <w:rsid w:val="00381141"/>
    <w:rsid w:val="00381313"/>
    <w:rsid w:val="0038149C"/>
    <w:rsid w:val="0038156C"/>
    <w:rsid w:val="00381A5B"/>
    <w:rsid w:val="00381AD1"/>
    <w:rsid w:val="00381BEB"/>
    <w:rsid w:val="00382180"/>
    <w:rsid w:val="00382583"/>
    <w:rsid w:val="003828C3"/>
    <w:rsid w:val="00382BA6"/>
    <w:rsid w:val="00382C45"/>
    <w:rsid w:val="00382DCC"/>
    <w:rsid w:val="00383198"/>
    <w:rsid w:val="003831EE"/>
    <w:rsid w:val="003834BE"/>
    <w:rsid w:val="00383503"/>
    <w:rsid w:val="003836CC"/>
    <w:rsid w:val="003836FE"/>
    <w:rsid w:val="003839C9"/>
    <w:rsid w:val="003839FC"/>
    <w:rsid w:val="00383CF5"/>
    <w:rsid w:val="00383E3D"/>
    <w:rsid w:val="00383FCE"/>
    <w:rsid w:val="003841BF"/>
    <w:rsid w:val="0038522D"/>
    <w:rsid w:val="003852B7"/>
    <w:rsid w:val="00385410"/>
    <w:rsid w:val="00385B98"/>
    <w:rsid w:val="00385C17"/>
    <w:rsid w:val="00385FCC"/>
    <w:rsid w:val="00386361"/>
    <w:rsid w:val="003864E2"/>
    <w:rsid w:val="0038655E"/>
    <w:rsid w:val="003867B3"/>
    <w:rsid w:val="00386A9F"/>
    <w:rsid w:val="00386D09"/>
    <w:rsid w:val="00387096"/>
    <w:rsid w:val="00387A3E"/>
    <w:rsid w:val="00387AE4"/>
    <w:rsid w:val="00387BEB"/>
    <w:rsid w:val="00387E2B"/>
    <w:rsid w:val="00387F00"/>
    <w:rsid w:val="0039000E"/>
    <w:rsid w:val="00390017"/>
    <w:rsid w:val="00390510"/>
    <w:rsid w:val="00390719"/>
    <w:rsid w:val="00390774"/>
    <w:rsid w:val="00390840"/>
    <w:rsid w:val="0039086A"/>
    <w:rsid w:val="003908E0"/>
    <w:rsid w:val="00390DB0"/>
    <w:rsid w:val="00391304"/>
    <w:rsid w:val="00391BAA"/>
    <w:rsid w:val="00391DDD"/>
    <w:rsid w:val="00391E8D"/>
    <w:rsid w:val="00392051"/>
    <w:rsid w:val="003920BB"/>
    <w:rsid w:val="00392217"/>
    <w:rsid w:val="003922C3"/>
    <w:rsid w:val="003925D2"/>
    <w:rsid w:val="00392E4A"/>
    <w:rsid w:val="0039306A"/>
    <w:rsid w:val="003932C5"/>
    <w:rsid w:val="003937CB"/>
    <w:rsid w:val="00393C9B"/>
    <w:rsid w:val="003940A5"/>
    <w:rsid w:val="00394231"/>
    <w:rsid w:val="003942F6"/>
    <w:rsid w:val="00394431"/>
    <w:rsid w:val="003944E0"/>
    <w:rsid w:val="003949DB"/>
    <w:rsid w:val="00394E3C"/>
    <w:rsid w:val="00395611"/>
    <w:rsid w:val="0039568A"/>
    <w:rsid w:val="00395930"/>
    <w:rsid w:val="00395FDB"/>
    <w:rsid w:val="00396505"/>
    <w:rsid w:val="00396542"/>
    <w:rsid w:val="00396773"/>
    <w:rsid w:val="00396848"/>
    <w:rsid w:val="00396975"/>
    <w:rsid w:val="00396D6A"/>
    <w:rsid w:val="00396F23"/>
    <w:rsid w:val="00396FE2"/>
    <w:rsid w:val="00397463"/>
    <w:rsid w:val="003976EB"/>
    <w:rsid w:val="0039777C"/>
    <w:rsid w:val="00397892"/>
    <w:rsid w:val="003978A7"/>
    <w:rsid w:val="00397D9B"/>
    <w:rsid w:val="00397DD1"/>
    <w:rsid w:val="00397F09"/>
    <w:rsid w:val="00397F0D"/>
    <w:rsid w:val="003A09F8"/>
    <w:rsid w:val="003A10B6"/>
    <w:rsid w:val="003A13B7"/>
    <w:rsid w:val="003A1B0F"/>
    <w:rsid w:val="003A1C2E"/>
    <w:rsid w:val="003A205E"/>
    <w:rsid w:val="003A20F5"/>
    <w:rsid w:val="003A237D"/>
    <w:rsid w:val="003A2ABF"/>
    <w:rsid w:val="003A2E0C"/>
    <w:rsid w:val="003A3173"/>
    <w:rsid w:val="003A381A"/>
    <w:rsid w:val="003A39F5"/>
    <w:rsid w:val="003A3A3A"/>
    <w:rsid w:val="003A41AD"/>
    <w:rsid w:val="003A42E4"/>
    <w:rsid w:val="003A4383"/>
    <w:rsid w:val="003A459B"/>
    <w:rsid w:val="003A473D"/>
    <w:rsid w:val="003A4A1E"/>
    <w:rsid w:val="003A4CF9"/>
    <w:rsid w:val="003A4EF5"/>
    <w:rsid w:val="003A4FA0"/>
    <w:rsid w:val="003A5339"/>
    <w:rsid w:val="003A557E"/>
    <w:rsid w:val="003A57AF"/>
    <w:rsid w:val="003A58C4"/>
    <w:rsid w:val="003A59E1"/>
    <w:rsid w:val="003A5AA1"/>
    <w:rsid w:val="003A5D3D"/>
    <w:rsid w:val="003A60B7"/>
    <w:rsid w:val="003A61A7"/>
    <w:rsid w:val="003A63DA"/>
    <w:rsid w:val="003A63ED"/>
    <w:rsid w:val="003A64B1"/>
    <w:rsid w:val="003A6866"/>
    <w:rsid w:val="003A69E2"/>
    <w:rsid w:val="003A6E36"/>
    <w:rsid w:val="003A6E99"/>
    <w:rsid w:val="003A6F80"/>
    <w:rsid w:val="003A7014"/>
    <w:rsid w:val="003A70AF"/>
    <w:rsid w:val="003A7139"/>
    <w:rsid w:val="003A7709"/>
    <w:rsid w:val="003A7AF5"/>
    <w:rsid w:val="003A7D6A"/>
    <w:rsid w:val="003A7EFF"/>
    <w:rsid w:val="003B0301"/>
    <w:rsid w:val="003B04DC"/>
    <w:rsid w:val="003B0637"/>
    <w:rsid w:val="003B0DEC"/>
    <w:rsid w:val="003B1D0A"/>
    <w:rsid w:val="003B1D20"/>
    <w:rsid w:val="003B1D4A"/>
    <w:rsid w:val="003B1E75"/>
    <w:rsid w:val="003B2354"/>
    <w:rsid w:val="003B2819"/>
    <w:rsid w:val="003B2B88"/>
    <w:rsid w:val="003B2E58"/>
    <w:rsid w:val="003B2F5F"/>
    <w:rsid w:val="003B2FE2"/>
    <w:rsid w:val="003B2FFB"/>
    <w:rsid w:val="003B3064"/>
    <w:rsid w:val="003B322F"/>
    <w:rsid w:val="003B3546"/>
    <w:rsid w:val="003B3643"/>
    <w:rsid w:val="003B37E9"/>
    <w:rsid w:val="003B3C5A"/>
    <w:rsid w:val="003B461D"/>
    <w:rsid w:val="003B467B"/>
    <w:rsid w:val="003B4BDF"/>
    <w:rsid w:val="003B4BF5"/>
    <w:rsid w:val="003B5272"/>
    <w:rsid w:val="003B5350"/>
    <w:rsid w:val="003B5360"/>
    <w:rsid w:val="003B5490"/>
    <w:rsid w:val="003B5504"/>
    <w:rsid w:val="003B56F1"/>
    <w:rsid w:val="003B5E85"/>
    <w:rsid w:val="003B5F4C"/>
    <w:rsid w:val="003B5F90"/>
    <w:rsid w:val="003B68F3"/>
    <w:rsid w:val="003B698E"/>
    <w:rsid w:val="003B6B64"/>
    <w:rsid w:val="003B72A1"/>
    <w:rsid w:val="003B799B"/>
    <w:rsid w:val="003B7B28"/>
    <w:rsid w:val="003C0002"/>
    <w:rsid w:val="003C065C"/>
    <w:rsid w:val="003C06E0"/>
    <w:rsid w:val="003C0D2B"/>
    <w:rsid w:val="003C17AE"/>
    <w:rsid w:val="003C1A06"/>
    <w:rsid w:val="003C1A91"/>
    <w:rsid w:val="003C1F1A"/>
    <w:rsid w:val="003C208A"/>
    <w:rsid w:val="003C22FE"/>
    <w:rsid w:val="003C259E"/>
    <w:rsid w:val="003C262F"/>
    <w:rsid w:val="003C2772"/>
    <w:rsid w:val="003C2B00"/>
    <w:rsid w:val="003C2F5D"/>
    <w:rsid w:val="003C2FEF"/>
    <w:rsid w:val="003C311A"/>
    <w:rsid w:val="003C335C"/>
    <w:rsid w:val="003C3413"/>
    <w:rsid w:val="003C3421"/>
    <w:rsid w:val="003C38A0"/>
    <w:rsid w:val="003C398E"/>
    <w:rsid w:val="003C3DCB"/>
    <w:rsid w:val="003C3FCF"/>
    <w:rsid w:val="003C41CD"/>
    <w:rsid w:val="003C4ABA"/>
    <w:rsid w:val="003C4CAE"/>
    <w:rsid w:val="003C4DE2"/>
    <w:rsid w:val="003C4E6D"/>
    <w:rsid w:val="003C5041"/>
    <w:rsid w:val="003C50D0"/>
    <w:rsid w:val="003C518B"/>
    <w:rsid w:val="003C523D"/>
    <w:rsid w:val="003C55D8"/>
    <w:rsid w:val="003C5A7D"/>
    <w:rsid w:val="003C5CD3"/>
    <w:rsid w:val="003C5FDC"/>
    <w:rsid w:val="003C607C"/>
    <w:rsid w:val="003C669C"/>
    <w:rsid w:val="003C67CC"/>
    <w:rsid w:val="003C6858"/>
    <w:rsid w:val="003C68D4"/>
    <w:rsid w:val="003C6DE4"/>
    <w:rsid w:val="003C7092"/>
    <w:rsid w:val="003C7104"/>
    <w:rsid w:val="003C725E"/>
    <w:rsid w:val="003C72DC"/>
    <w:rsid w:val="003C7328"/>
    <w:rsid w:val="003C75F9"/>
    <w:rsid w:val="003C7864"/>
    <w:rsid w:val="003C7918"/>
    <w:rsid w:val="003C7D27"/>
    <w:rsid w:val="003D0389"/>
    <w:rsid w:val="003D0467"/>
    <w:rsid w:val="003D08E3"/>
    <w:rsid w:val="003D09C5"/>
    <w:rsid w:val="003D0C5C"/>
    <w:rsid w:val="003D0C7C"/>
    <w:rsid w:val="003D0E07"/>
    <w:rsid w:val="003D11F9"/>
    <w:rsid w:val="003D122A"/>
    <w:rsid w:val="003D154D"/>
    <w:rsid w:val="003D155D"/>
    <w:rsid w:val="003D185E"/>
    <w:rsid w:val="003D1A7E"/>
    <w:rsid w:val="003D1D20"/>
    <w:rsid w:val="003D1FCF"/>
    <w:rsid w:val="003D2184"/>
    <w:rsid w:val="003D234E"/>
    <w:rsid w:val="003D27EF"/>
    <w:rsid w:val="003D2A6B"/>
    <w:rsid w:val="003D2AD2"/>
    <w:rsid w:val="003D2B70"/>
    <w:rsid w:val="003D2D32"/>
    <w:rsid w:val="003D30A1"/>
    <w:rsid w:val="003D3123"/>
    <w:rsid w:val="003D3271"/>
    <w:rsid w:val="003D3AB4"/>
    <w:rsid w:val="003D421B"/>
    <w:rsid w:val="003D4445"/>
    <w:rsid w:val="003D4BE7"/>
    <w:rsid w:val="003D55F7"/>
    <w:rsid w:val="003D5BE2"/>
    <w:rsid w:val="003D652C"/>
    <w:rsid w:val="003D6654"/>
    <w:rsid w:val="003D68C2"/>
    <w:rsid w:val="003D6B5B"/>
    <w:rsid w:val="003D6EB8"/>
    <w:rsid w:val="003D6F2D"/>
    <w:rsid w:val="003D6FC4"/>
    <w:rsid w:val="003D764C"/>
    <w:rsid w:val="003D7796"/>
    <w:rsid w:val="003D7A18"/>
    <w:rsid w:val="003D7B88"/>
    <w:rsid w:val="003D7F99"/>
    <w:rsid w:val="003E00CC"/>
    <w:rsid w:val="003E02DF"/>
    <w:rsid w:val="003E0760"/>
    <w:rsid w:val="003E0B52"/>
    <w:rsid w:val="003E0E12"/>
    <w:rsid w:val="003E0EE4"/>
    <w:rsid w:val="003E0F09"/>
    <w:rsid w:val="003E1102"/>
    <w:rsid w:val="003E1170"/>
    <w:rsid w:val="003E1265"/>
    <w:rsid w:val="003E1688"/>
    <w:rsid w:val="003E186C"/>
    <w:rsid w:val="003E1B94"/>
    <w:rsid w:val="003E1D4B"/>
    <w:rsid w:val="003E1E53"/>
    <w:rsid w:val="003E20E7"/>
    <w:rsid w:val="003E2408"/>
    <w:rsid w:val="003E2E34"/>
    <w:rsid w:val="003E3121"/>
    <w:rsid w:val="003E3425"/>
    <w:rsid w:val="003E3C4B"/>
    <w:rsid w:val="003E3DED"/>
    <w:rsid w:val="003E47BA"/>
    <w:rsid w:val="003E4972"/>
    <w:rsid w:val="003E4992"/>
    <w:rsid w:val="003E4A47"/>
    <w:rsid w:val="003E50A9"/>
    <w:rsid w:val="003E5584"/>
    <w:rsid w:val="003E5930"/>
    <w:rsid w:val="003E59F8"/>
    <w:rsid w:val="003E5A3A"/>
    <w:rsid w:val="003E5A8F"/>
    <w:rsid w:val="003E5B03"/>
    <w:rsid w:val="003E5C7D"/>
    <w:rsid w:val="003E5D49"/>
    <w:rsid w:val="003E5F62"/>
    <w:rsid w:val="003E60C5"/>
    <w:rsid w:val="003E647B"/>
    <w:rsid w:val="003E680C"/>
    <w:rsid w:val="003E6864"/>
    <w:rsid w:val="003E68F6"/>
    <w:rsid w:val="003E6957"/>
    <w:rsid w:val="003E6CE3"/>
    <w:rsid w:val="003E6FC6"/>
    <w:rsid w:val="003E7121"/>
    <w:rsid w:val="003E7549"/>
    <w:rsid w:val="003E7588"/>
    <w:rsid w:val="003E76C5"/>
    <w:rsid w:val="003E7A21"/>
    <w:rsid w:val="003E7A50"/>
    <w:rsid w:val="003E7F6A"/>
    <w:rsid w:val="003F0796"/>
    <w:rsid w:val="003F093F"/>
    <w:rsid w:val="003F0DB8"/>
    <w:rsid w:val="003F0FE5"/>
    <w:rsid w:val="003F195C"/>
    <w:rsid w:val="003F1FC5"/>
    <w:rsid w:val="003F2063"/>
    <w:rsid w:val="003F22E6"/>
    <w:rsid w:val="003F24E0"/>
    <w:rsid w:val="003F285E"/>
    <w:rsid w:val="003F2AEF"/>
    <w:rsid w:val="003F2C4F"/>
    <w:rsid w:val="003F2D62"/>
    <w:rsid w:val="003F2D65"/>
    <w:rsid w:val="003F2F5C"/>
    <w:rsid w:val="003F30B5"/>
    <w:rsid w:val="003F3182"/>
    <w:rsid w:val="003F3591"/>
    <w:rsid w:val="003F35B8"/>
    <w:rsid w:val="003F384B"/>
    <w:rsid w:val="003F3967"/>
    <w:rsid w:val="003F3C5F"/>
    <w:rsid w:val="003F3C6A"/>
    <w:rsid w:val="003F3F92"/>
    <w:rsid w:val="003F3FBF"/>
    <w:rsid w:val="003F400F"/>
    <w:rsid w:val="003F412C"/>
    <w:rsid w:val="003F46EF"/>
    <w:rsid w:val="003F4967"/>
    <w:rsid w:val="003F4F68"/>
    <w:rsid w:val="003F4F9F"/>
    <w:rsid w:val="003F537E"/>
    <w:rsid w:val="003F5642"/>
    <w:rsid w:val="003F5A2B"/>
    <w:rsid w:val="003F5E9E"/>
    <w:rsid w:val="003F62DF"/>
    <w:rsid w:val="003F63B3"/>
    <w:rsid w:val="003F6566"/>
    <w:rsid w:val="003F6799"/>
    <w:rsid w:val="003F6D9C"/>
    <w:rsid w:val="003F7356"/>
    <w:rsid w:val="003F75A1"/>
    <w:rsid w:val="003F78CA"/>
    <w:rsid w:val="003F7AA9"/>
    <w:rsid w:val="004001BE"/>
    <w:rsid w:val="00400576"/>
    <w:rsid w:val="004006CC"/>
    <w:rsid w:val="004010C9"/>
    <w:rsid w:val="0040111B"/>
    <w:rsid w:val="00401689"/>
    <w:rsid w:val="00401EFF"/>
    <w:rsid w:val="00401FE7"/>
    <w:rsid w:val="00402201"/>
    <w:rsid w:val="004022BD"/>
    <w:rsid w:val="0040234B"/>
    <w:rsid w:val="004023F0"/>
    <w:rsid w:val="00402D8E"/>
    <w:rsid w:val="00403146"/>
    <w:rsid w:val="004035CC"/>
    <w:rsid w:val="00403661"/>
    <w:rsid w:val="00403824"/>
    <w:rsid w:val="00403A74"/>
    <w:rsid w:val="00403EFD"/>
    <w:rsid w:val="004045B0"/>
    <w:rsid w:val="00404820"/>
    <w:rsid w:val="00404E55"/>
    <w:rsid w:val="00404EEC"/>
    <w:rsid w:val="00405333"/>
    <w:rsid w:val="004053EC"/>
    <w:rsid w:val="004056BA"/>
    <w:rsid w:val="00405F1C"/>
    <w:rsid w:val="004060C1"/>
    <w:rsid w:val="00406622"/>
    <w:rsid w:val="00406838"/>
    <w:rsid w:val="004068FE"/>
    <w:rsid w:val="004069A4"/>
    <w:rsid w:val="004069BD"/>
    <w:rsid w:val="00406FC7"/>
    <w:rsid w:val="004072C7"/>
    <w:rsid w:val="00407723"/>
    <w:rsid w:val="0040783B"/>
    <w:rsid w:val="00407A6D"/>
    <w:rsid w:val="00407AD6"/>
    <w:rsid w:val="00407F9F"/>
    <w:rsid w:val="00410637"/>
    <w:rsid w:val="004107DA"/>
    <w:rsid w:val="00410961"/>
    <w:rsid w:val="00410CB3"/>
    <w:rsid w:val="00410E57"/>
    <w:rsid w:val="00411826"/>
    <w:rsid w:val="004118E2"/>
    <w:rsid w:val="00411E99"/>
    <w:rsid w:val="004121D2"/>
    <w:rsid w:val="00412615"/>
    <w:rsid w:val="00412D6A"/>
    <w:rsid w:val="00412E9C"/>
    <w:rsid w:val="00412FF1"/>
    <w:rsid w:val="004132C9"/>
    <w:rsid w:val="00413447"/>
    <w:rsid w:val="004134BF"/>
    <w:rsid w:val="00413521"/>
    <w:rsid w:val="00413912"/>
    <w:rsid w:val="00413922"/>
    <w:rsid w:val="004139FB"/>
    <w:rsid w:val="004141FD"/>
    <w:rsid w:val="004142AE"/>
    <w:rsid w:val="00414632"/>
    <w:rsid w:val="004146A9"/>
    <w:rsid w:val="00414C73"/>
    <w:rsid w:val="004153ED"/>
    <w:rsid w:val="004154D2"/>
    <w:rsid w:val="00415618"/>
    <w:rsid w:val="00415A82"/>
    <w:rsid w:val="00415C85"/>
    <w:rsid w:val="0041614B"/>
    <w:rsid w:val="004161F6"/>
    <w:rsid w:val="00416A28"/>
    <w:rsid w:val="00416A73"/>
    <w:rsid w:val="00416FDA"/>
    <w:rsid w:val="00417337"/>
    <w:rsid w:val="004173C0"/>
    <w:rsid w:val="00417465"/>
    <w:rsid w:val="00417709"/>
    <w:rsid w:val="0041770B"/>
    <w:rsid w:val="0041771E"/>
    <w:rsid w:val="00420608"/>
    <w:rsid w:val="00420764"/>
    <w:rsid w:val="00420840"/>
    <w:rsid w:val="00420970"/>
    <w:rsid w:val="00420D37"/>
    <w:rsid w:val="00420D7B"/>
    <w:rsid w:val="00420F99"/>
    <w:rsid w:val="00421693"/>
    <w:rsid w:val="004216A6"/>
    <w:rsid w:val="004218B0"/>
    <w:rsid w:val="00422212"/>
    <w:rsid w:val="0042221F"/>
    <w:rsid w:val="00422797"/>
    <w:rsid w:val="00422896"/>
    <w:rsid w:val="0042296B"/>
    <w:rsid w:val="00422ECB"/>
    <w:rsid w:val="00422F0B"/>
    <w:rsid w:val="00423308"/>
    <w:rsid w:val="00423366"/>
    <w:rsid w:val="0042342F"/>
    <w:rsid w:val="004236C8"/>
    <w:rsid w:val="00423C2B"/>
    <w:rsid w:val="004240DC"/>
    <w:rsid w:val="00424BCD"/>
    <w:rsid w:val="00424F74"/>
    <w:rsid w:val="0042510F"/>
    <w:rsid w:val="00425470"/>
    <w:rsid w:val="0042581C"/>
    <w:rsid w:val="00425C03"/>
    <w:rsid w:val="0042680A"/>
    <w:rsid w:val="00426E05"/>
    <w:rsid w:val="0042706E"/>
    <w:rsid w:val="00427154"/>
    <w:rsid w:val="004279A7"/>
    <w:rsid w:val="004279BF"/>
    <w:rsid w:val="00427DD7"/>
    <w:rsid w:val="00427FAE"/>
    <w:rsid w:val="004302FA"/>
    <w:rsid w:val="004304CD"/>
    <w:rsid w:val="004308E8"/>
    <w:rsid w:val="0043187B"/>
    <w:rsid w:val="00431E58"/>
    <w:rsid w:val="0043201F"/>
    <w:rsid w:val="004322E9"/>
    <w:rsid w:val="00432FF1"/>
    <w:rsid w:val="0043306B"/>
    <w:rsid w:val="00433194"/>
    <w:rsid w:val="004333CB"/>
    <w:rsid w:val="004338CD"/>
    <w:rsid w:val="00433D10"/>
    <w:rsid w:val="00434041"/>
    <w:rsid w:val="004340AC"/>
    <w:rsid w:val="004341EE"/>
    <w:rsid w:val="0043454E"/>
    <w:rsid w:val="004346A6"/>
    <w:rsid w:val="00434A96"/>
    <w:rsid w:val="00434B41"/>
    <w:rsid w:val="00434C16"/>
    <w:rsid w:val="00434D8C"/>
    <w:rsid w:val="00434F84"/>
    <w:rsid w:val="00434F9B"/>
    <w:rsid w:val="0043510E"/>
    <w:rsid w:val="00435237"/>
    <w:rsid w:val="00435334"/>
    <w:rsid w:val="00435398"/>
    <w:rsid w:val="0043586F"/>
    <w:rsid w:val="00435C43"/>
    <w:rsid w:val="00435DAC"/>
    <w:rsid w:val="00435FA3"/>
    <w:rsid w:val="00436517"/>
    <w:rsid w:val="00436D20"/>
    <w:rsid w:val="00437213"/>
    <w:rsid w:val="00437452"/>
    <w:rsid w:val="00437466"/>
    <w:rsid w:val="0043755D"/>
    <w:rsid w:val="00437780"/>
    <w:rsid w:val="004377E2"/>
    <w:rsid w:val="0044011C"/>
    <w:rsid w:val="0044046A"/>
    <w:rsid w:val="00440494"/>
    <w:rsid w:val="00440970"/>
    <w:rsid w:val="00440FD6"/>
    <w:rsid w:val="00441095"/>
    <w:rsid w:val="0044125E"/>
    <w:rsid w:val="00441D7B"/>
    <w:rsid w:val="00441E67"/>
    <w:rsid w:val="00441F29"/>
    <w:rsid w:val="0044210C"/>
    <w:rsid w:val="0044266B"/>
    <w:rsid w:val="004431FB"/>
    <w:rsid w:val="004434E1"/>
    <w:rsid w:val="004434FB"/>
    <w:rsid w:val="00443570"/>
    <w:rsid w:val="0044373D"/>
    <w:rsid w:val="004438F4"/>
    <w:rsid w:val="0044391A"/>
    <w:rsid w:val="0044394B"/>
    <w:rsid w:val="00443B7B"/>
    <w:rsid w:val="00443FA0"/>
    <w:rsid w:val="00444080"/>
    <w:rsid w:val="004440AB"/>
    <w:rsid w:val="00444238"/>
    <w:rsid w:val="00444371"/>
    <w:rsid w:val="004445F3"/>
    <w:rsid w:val="0044463D"/>
    <w:rsid w:val="00444723"/>
    <w:rsid w:val="00444907"/>
    <w:rsid w:val="00444AFC"/>
    <w:rsid w:val="00444C79"/>
    <w:rsid w:val="004452D6"/>
    <w:rsid w:val="004456B7"/>
    <w:rsid w:val="004456E7"/>
    <w:rsid w:val="00446400"/>
    <w:rsid w:val="00446638"/>
    <w:rsid w:val="0044667E"/>
    <w:rsid w:val="004470D6"/>
    <w:rsid w:val="0044734A"/>
    <w:rsid w:val="00447736"/>
    <w:rsid w:val="00447D04"/>
    <w:rsid w:val="00447E0E"/>
    <w:rsid w:val="00447F0A"/>
    <w:rsid w:val="00447FB0"/>
    <w:rsid w:val="00450360"/>
    <w:rsid w:val="004503B8"/>
    <w:rsid w:val="004503F8"/>
    <w:rsid w:val="00450426"/>
    <w:rsid w:val="004505A6"/>
    <w:rsid w:val="00450767"/>
    <w:rsid w:val="004507DB"/>
    <w:rsid w:val="00450B9C"/>
    <w:rsid w:val="00450DEB"/>
    <w:rsid w:val="0045115E"/>
    <w:rsid w:val="00451261"/>
    <w:rsid w:val="004518E3"/>
    <w:rsid w:val="004519CB"/>
    <w:rsid w:val="00451FD2"/>
    <w:rsid w:val="004528FE"/>
    <w:rsid w:val="00452A8F"/>
    <w:rsid w:val="00452A9B"/>
    <w:rsid w:val="00452B4C"/>
    <w:rsid w:val="00452F1F"/>
    <w:rsid w:val="00453B0A"/>
    <w:rsid w:val="00453B51"/>
    <w:rsid w:val="0045405C"/>
    <w:rsid w:val="0045432A"/>
    <w:rsid w:val="00454364"/>
    <w:rsid w:val="004544D6"/>
    <w:rsid w:val="00454512"/>
    <w:rsid w:val="00454552"/>
    <w:rsid w:val="0045486E"/>
    <w:rsid w:val="004548CE"/>
    <w:rsid w:val="00455145"/>
    <w:rsid w:val="00455239"/>
    <w:rsid w:val="0045543E"/>
    <w:rsid w:val="00455478"/>
    <w:rsid w:val="0045554E"/>
    <w:rsid w:val="004559AD"/>
    <w:rsid w:val="00455A7A"/>
    <w:rsid w:val="00455C1E"/>
    <w:rsid w:val="00455DCB"/>
    <w:rsid w:val="0045647F"/>
    <w:rsid w:val="004567FC"/>
    <w:rsid w:val="0045694D"/>
    <w:rsid w:val="00456A20"/>
    <w:rsid w:val="00456C28"/>
    <w:rsid w:val="00456D05"/>
    <w:rsid w:val="00456D84"/>
    <w:rsid w:val="00456EA9"/>
    <w:rsid w:val="00456F3D"/>
    <w:rsid w:val="00456FFF"/>
    <w:rsid w:val="00457461"/>
    <w:rsid w:val="00457D8E"/>
    <w:rsid w:val="00460099"/>
    <w:rsid w:val="004600B5"/>
    <w:rsid w:val="0046015D"/>
    <w:rsid w:val="00460393"/>
    <w:rsid w:val="00460723"/>
    <w:rsid w:val="004608A5"/>
    <w:rsid w:val="00460AAC"/>
    <w:rsid w:val="00460D27"/>
    <w:rsid w:val="00460D62"/>
    <w:rsid w:val="00461374"/>
    <w:rsid w:val="004619DB"/>
    <w:rsid w:val="00461E7C"/>
    <w:rsid w:val="004620F4"/>
    <w:rsid w:val="00462808"/>
    <w:rsid w:val="00462909"/>
    <w:rsid w:val="00462B93"/>
    <w:rsid w:val="00462CE4"/>
    <w:rsid w:val="004631A1"/>
    <w:rsid w:val="00463287"/>
    <w:rsid w:val="00463356"/>
    <w:rsid w:val="0046336A"/>
    <w:rsid w:val="004635B2"/>
    <w:rsid w:val="00463F97"/>
    <w:rsid w:val="004649C1"/>
    <w:rsid w:val="004649C2"/>
    <w:rsid w:val="00464AE7"/>
    <w:rsid w:val="00464F25"/>
    <w:rsid w:val="004654C8"/>
    <w:rsid w:val="00465533"/>
    <w:rsid w:val="0046644C"/>
    <w:rsid w:val="0046683D"/>
    <w:rsid w:val="00466CE0"/>
    <w:rsid w:val="00466D5B"/>
    <w:rsid w:val="004672E6"/>
    <w:rsid w:val="00467323"/>
    <w:rsid w:val="004674A2"/>
    <w:rsid w:val="00467651"/>
    <w:rsid w:val="0046765F"/>
    <w:rsid w:val="00467A14"/>
    <w:rsid w:val="00467D84"/>
    <w:rsid w:val="004700B5"/>
    <w:rsid w:val="0047087A"/>
    <w:rsid w:val="0047092A"/>
    <w:rsid w:val="00470986"/>
    <w:rsid w:val="00470B18"/>
    <w:rsid w:val="00470EC8"/>
    <w:rsid w:val="00470EF3"/>
    <w:rsid w:val="004713E4"/>
    <w:rsid w:val="004719AD"/>
    <w:rsid w:val="0047216C"/>
    <w:rsid w:val="00472823"/>
    <w:rsid w:val="0047373C"/>
    <w:rsid w:val="00473CF2"/>
    <w:rsid w:val="00473EA8"/>
    <w:rsid w:val="00473F25"/>
    <w:rsid w:val="0047414E"/>
    <w:rsid w:val="004746BF"/>
    <w:rsid w:val="00474EDD"/>
    <w:rsid w:val="00475027"/>
    <w:rsid w:val="00475153"/>
    <w:rsid w:val="0047528A"/>
    <w:rsid w:val="00475379"/>
    <w:rsid w:val="004753C7"/>
    <w:rsid w:val="00475586"/>
    <w:rsid w:val="00475634"/>
    <w:rsid w:val="004758FB"/>
    <w:rsid w:val="00475EE9"/>
    <w:rsid w:val="00476945"/>
    <w:rsid w:val="00476999"/>
    <w:rsid w:val="00476D1D"/>
    <w:rsid w:val="00476ECC"/>
    <w:rsid w:val="00476FD5"/>
    <w:rsid w:val="00477689"/>
    <w:rsid w:val="004776DD"/>
    <w:rsid w:val="004776EB"/>
    <w:rsid w:val="00477FC2"/>
    <w:rsid w:val="00480072"/>
    <w:rsid w:val="004804F9"/>
    <w:rsid w:val="00480B1A"/>
    <w:rsid w:val="00480C97"/>
    <w:rsid w:val="00480D0E"/>
    <w:rsid w:val="004810ED"/>
    <w:rsid w:val="004811C8"/>
    <w:rsid w:val="00481632"/>
    <w:rsid w:val="0048194C"/>
    <w:rsid w:val="004823B4"/>
    <w:rsid w:val="0048269A"/>
    <w:rsid w:val="004829F7"/>
    <w:rsid w:val="00482A0D"/>
    <w:rsid w:val="0048302F"/>
    <w:rsid w:val="00483301"/>
    <w:rsid w:val="004834D0"/>
    <w:rsid w:val="00483657"/>
    <w:rsid w:val="00483916"/>
    <w:rsid w:val="00483B5F"/>
    <w:rsid w:val="0048400F"/>
    <w:rsid w:val="00484111"/>
    <w:rsid w:val="0048439C"/>
    <w:rsid w:val="00484421"/>
    <w:rsid w:val="0048461C"/>
    <w:rsid w:val="00484728"/>
    <w:rsid w:val="00484C29"/>
    <w:rsid w:val="00484DF0"/>
    <w:rsid w:val="0048515D"/>
    <w:rsid w:val="004852B1"/>
    <w:rsid w:val="004855EC"/>
    <w:rsid w:val="00485A87"/>
    <w:rsid w:val="00485BD5"/>
    <w:rsid w:val="00485BE4"/>
    <w:rsid w:val="00485CE5"/>
    <w:rsid w:val="00485D33"/>
    <w:rsid w:val="00485F1C"/>
    <w:rsid w:val="00485F96"/>
    <w:rsid w:val="0048607B"/>
    <w:rsid w:val="00486BFC"/>
    <w:rsid w:val="00486CDE"/>
    <w:rsid w:val="004871C3"/>
    <w:rsid w:val="004877CF"/>
    <w:rsid w:val="00487B53"/>
    <w:rsid w:val="004901A1"/>
    <w:rsid w:val="00490342"/>
    <w:rsid w:val="0049045C"/>
    <w:rsid w:val="004904CA"/>
    <w:rsid w:val="0049066E"/>
    <w:rsid w:val="00490804"/>
    <w:rsid w:val="0049097F"/>
    <w:rsid w:val="004910E2"/>
    <w:rsid w:val="004914A7"/>
    <w:rsid w:val="00491701"/>
    <w:rsid w:val="004917B2"/>
    <w:rsid w:val="00491A27"/>
    <w:rsid w:val="00491CEA"/>
    <w:rsid w:val="00491D46"/>
    <w:rsid w:val="00491DDC"/>
    <w:rsid w:val="00491F4A"/>
    <w:rsid w:val="004925C1"/>
    <w:rsid w:val="00492A36"/>
    <w:rsid w:val="00492D75"/>
    <w:rsid w:val="0049315F"/>
    <w:rsid w:val="004931B3"/>
    <w:rsid w:val="0049347B"/>
    <w:rsid w:val="00493818"/>
    <w:rsid w:val="00493956"/>
    <w:rsid w:val="00493C6F"/>
    <w:rsid w:val="00494111"/>
    <w:rsid w:val="00494859"/>
    <w:rsid w:val="00494B05"/>
    <w:rsid w:val="00494ED2"/>
    <w:rsid w:val="00495176"/>
    <w:rsid w:val="004952F0"/>
    <w:rsid w:val="004955CF"/>
    <w:rsid w:val="00496160"/>
    <w:rsid w:val="00496591"/>
    <w:rsid w:val="00496ABB"/>
    <w:rsid w:val="00496D2A"/>
    <w:rsid w:val="004977F7"/>
    <w:rsid w:val="00497A39"/>
    <w:rsid w:val="00497FA6"/>
    <w:rsid w:val="004A019C"/>
    <w:rsid w:val="004A0407"/>
    <w:rsid w:val="004A09B8"/>
    <w:rsid w:val="004A0F33"/>
    <w:rsid w:val="004A114F"/>
    <w:rsid w:val="004A1252"/>
    <w:rsid w:val="004A1BAB"/>
    <w:rsid w:val="004A1E8A"/>
    <w:rsid w:val="004A1FDC"/>
    <w:rsid w:val="004A2542"/>
    <w:rsid w:val="004A28C9"/>
    <w:rsid w:val="004A2951"/>
    <w:rsid w:val="004A2B73"/>
    <w:rsid w:val="004A2C7F"/>
    <w:rsid w:val="004A2D80"/>
    <w:rsid w:val="004A2D8A"/>
    <w:rsid w:val="004A2E17"/>
    <w:rsid w:val="004A3012"/>
    <w:rsid w:val="004A3551"/>
    <w:rsid w:val="004A3570"/>
    <w:rsid w:val="004A3FB9"/>
    <w:rsid w:val="004A42AC"/>
    <w:rsid w:val="004A46D2"/>
    <w:rsid w:val="004A47EC"/>
    <w:rsid w:val="004A4B50"/>
    <w:rsid w:val="004A4E78"/>
    <w:rsid w:val="004A5340"/>
    <w:rsid w:val="004A5587"/>
    <w:rsid w:val="004A55B1"/>
    <w:rsid w:val="004A5BD0"/>
    <w:rsid w:val="004A5D27"/>
    <w:rsid w:val="004A60A9"/>
    <w:rsid w:val="004A6A9F"/>
    <w:rsid w:val="004A78D6"/>
    <w:rsid w:val="004A7BCA"/>
    <w:rsid w:val="004B01B1"/>
    <w:rsid w:val="004B0362"/>
    <w:rsid w:val="004B0576"/>
    <w:rsid w:val="004B05E6"/>
    <w:rsid w:val="004B0873"/>
    <w:rsid w:val="004B0A3E"/>
    <w:rsid w:val="004B10B9"/>
    <w:rsid w:val="004B1425"/>
    <w:rsid w:val="004B1428"/>
    <w:rsid w:val="004B1479"/>
    <w:rsid w:val="004B1A10"/>
    <w:rsid w:val="004B1B3C"/>
    <w:rsid w:val="004B1D41"/>
    <w:rsid w:val="004B27A5"/>
    <w:rsid w:val="004B294D"/>
    <w:rsid w:val="004B2BC5"/>
    <w:rsid w:val="004B3170"/>
    <w:rsid w:val="004B35FF"/>
    <w:rsid w:val="004B3EA1"/>
    <w:rsid w:val="004B3EC8"/>
    <w:rsid w:val="004B40F1"/>
    <w:rsid w:val="004B4547"/>
    <w:rsid w:val="004B4680"/>
    <w:rsid w:val="004B485D"/>
    <w:rsid w:val="004B4A2B"/>
    <w:rsid w:val="004B4AF1"/>
    <w:rsid w:val="004B4F0F"/>
    <w:rsid w:val="004B4F25"/>
    <w:rsid w:val="004B503C"/>
    <w:rsid w:val="004B542B"/>
    <w:rsid w:val="004B5880"/>
    <w:rsid w:val="004B5AC1"/>
    <w:rsid w:val="004B61B5"/>
    <w:rsid w:val="004B61C9"/>
    <w:rsid w:val="004B64EE"/>
    <w:rsid w:val="004B6881"/>
    <w:rsid w:val="004B6C2A"/>
    <w:rsid w:val="004B70EC"/>
    <w:rsid w:val="004B70F5"/>
    <w:rsid w:val="004B7120"/>
    <w:rsid w:val="004B7358"/>
    <w:rsid w:val="004B74C4"/>
    <w:rsid w:val="004B7501"/>
    <w:rsid w:val="004B7654"/>
    <w:rsid w:val="004B7D08"/>
    <w:rsid w:val="004B7F69"/>
    <w:rsid w:val="004C0022"/>
    <w:rsid w:val="004C002F"/>
    <w:rsid w:val="004C0263"/>
    <w:rsid w:val="004C03E2"/>
    <w:rsid w:val="004C044F"/>
    <w:rsid w:val="004C0672"/>
    <w:rsid w:val="004C070F"/>
    <w:rsid w:val="004C0BC0"/>
    <w:rsid w:val="004C0BDD"/>
    <w:rsid w:val="004C0C4F"/>
    <w:rsid w:val="004C0E16"/>
    <w:rsid w:val="004C0E2A"/>
    <w:rsid w:val="004C0E53"/>
    <w:rsid w:val="004C164D"/>
    <w:rsid w:val="004C1962"/>
    <w:rsid w:val="004C1BB0"/>
    <w:rsid w:val="004C1E7B"/>
    <w:rsid w:val="004C2044"/>
    <w:rsid w:val="004C233F"/>
    <w:rsid w:val="004C256A"/>
    <w:rsid w:val="004C2699"/>
    <w:rsid w:val="004C29B5"/>
    <w:rsid w:val="004C31B1"/>
    <w:rsid w:val="004C3583"/>
    <w:rsid w:val="004C35CD"/>
    <w:rsid w:val="004C35F8"/>
    <w:rsid w:val="004C3839"/>
    <w:rsid w:val="004C3D15"/>
    <w:rsid w:val="004C404E"/>
    <w:rsid w:val="004C41B8"/>
    <w:rsid w:val="004C467E"/>
    <w:rsid w:val="004C52C6"/>
    <w:rsid w:val="004C52FB"/>
    <w:rsid w:val="004C5403"/>
    <w:rsid w:val="004C5568"/>
    <w:rsid w:val="004C55E7"/>
    <w:rsid w:val="004C5786"/>
    <w:rsid w:val="004C5834"/>
    <w:rsid w:val="004C5A24"/>
    <w:rsid w:val="004C5A61"/>
    <w:rsid w:val="004C5B20"/>
    <w:rsid w:val="004C5E28"/>
    <w:rsid w:val="004C60D1"/>
    <w:rsid w:val="004C6E56"/>
    <w:rsid w:val="004C6F2B"/>
    <w:rsid w:val="004C715C"/>
    <w:rsid w:val="004C7216"/>
    <w:rsid w:val="004C745B"/>
    <w:rsid w:val="004C76A2"/>
    <w:rsid w:val="004C7821"/>
    <w:rsid w:val="004C79F0"/>
    <w:rsid w:val="004C7D86"/>
    <w:rsid w:val="004D00FA"/>
    <w:rsid w:val="004D0137"/>
    <w:rsid w:val="004D0354"/>
    <w:rsid w:val="004D0479"/>
    <w:rsid w:val="004D0ACE"/>
    <w:rsid w:val="004D0E3D"/>
    <w:rsid w:val="004D14D5"/>
    <w:rsid w:val="004D16DB"/>
    <w:rsid w:val="004D196A"/>
    <w:rsid w:val="004D1A34"/>
    <w:rsid w:val="004D1E4F"/>
    <w:rsid w:val="004D1F15"/>
    <w:rsid w:val="004D2723"/>
    <w:rsid w:val="004D297F"/>
    <w:rsid w:val="004D2A2B"/>
    <w:rsid w:val="004D2D22"/>
    <w:rsid w:val="004D2DE3"/>
    <w:rsid w:val="004D2EA3"/>
    <w:rsid w:val="004D3187"/>
    <w:rsid w:val="004D3193"/>
    <w:rsid w:val="004D326A"/>
    <w:rsid w:val="004D3608"/>
    <w:rsid w:val="004D3673"/>
    <w:rsid w:val="004D3C4F"/>
    <w:rsid w:val="004D4247"/>
    <w:rsid w:val="004D47C0"/>
    <w:rsid w:val="004D4898"/>
    <w:rsid w:val="004D52CE"/>
    <w:rsid w:val="004D52F9"/>
    <w:rsid w:val="004D5633"/>
    <w:rsid w:val="004D5814"/>
    <w:rsid w:val="004D5896"/>
    <w:rsid w:val="004D58B5"/>
    <w:rsid w:val="004D6371"/>
    <w:rsid w:val="004D647D"/>
    <w:rsid w:val="004D6606"/>
    <w:rsid w:val="004D661A"/>
    <w:rsid w:val="004D6852"/>
    <w:rsid w:val="004D6D81"/>
    <w:rsid w:val="004D7C60"/>
    <w:rsid w:val="004E00B1"/>
    <w:rsid w:val="004E013D"/>
    <w:rsid w:val="004E02F3"/>
    <w:rsid w:val="004E0307"/>
    <w:rsid w:val="004E0558"/>
    <w:rsid w:val="004E0570"/>
    <w:rsid w:val="004E0807"/>
    <w:rsid w:val="004E0926"/>
    <w:rsid w:val="004E09DE"/>
    <w:rsid w:val="004E09FD"/>
    <w:rsid w:val="004E0B46"/>
    <w:rsid w:val="004E11A3"/>
    <w:rsid w:val="004E12B8"/>
    <w:rsid w:val="004E161A"/>
    <w:rsid w:val="004E198E"/>
    <w:rsid w:val="004E1C08"/>
    <w:rsid w:val="004E20B4"/>
    <w:rsid w:val="004E2704"/>
    <w:rsid w:val="004E2838"/>
    <w:rsid w:val="004E29AD"/>
    <w:rsid w:val="004E2DB0"/>
    <w:rsid w:val="004E2EE5"/>
    <w:rsid w:val="004E3B45"/>
    <w:rsid w:val="004E3B71"/>
    <w:rsid w:val="004E4944"/>
    <w:rsid w:val="004E4ABA"/>
    <w:rsid w:val="004E4B36"/>
    <w:rsid w:val="004E4C12"/>
    <w:rsid w:val="004E4E22"/>
    <w:rsid w:val="004E56EE"/>
    <w:rsid w:val="004E58CB"/>
    <w:rsid w:val="004E5A33"/>
    <w:rsid w:val="004E5B00"/>
    <w:rsid w:val="004E5BC4"/>
    <w:rsid w:val="004E5D98"/>
    <w:rsid w:val="004E5F24"/>
    <w:rsid w:val="004E5FDC"/>
    <w:rsid w:val="004E61AD"/>
    <w:rsid w:val="004E62F9"/>
    <w:rsid w:val="004E6439"/>
    <w:rsid w:val="004E6E84"/>
    <w:rsid w:val="004E6F77"/>
    <w:rsid w:val="004E7097"/>
    <w:rsid w:val="004E70AE"/>
    <w:rsid w:val="004E73B5"/>
    <w:rsid w:val="004E74A0"/>
    <w:rsid w:val="004E7576"/>
    <w:rsid w:val="004E758A"/>
    <w:rsid w:val="004E7AD9"/>
    <w:rsid w:val="004E7BDE"/>
    <w:rsid w:val="004E7F3E"/>
    <w:rsid w:val="004F025A"/>
    <w:rsid w:val="004F06D8"/>
    <w:rsid w:val="004F0877"/>
    <w:rsid w:val="004F09F9"/>
    <w:rsid w:val="004F0C58"/>
    <w:rsid w:val="004F1110"/>
    <w:rsid w:val="004F12B2"/>
    <w:rsid w:val="004F184C"/>
    <w:rsid w:val="004F188E"/>
    <w:rsid w:val="004F1911"/>
    <w:rsid w:val="004F19B2"/>
    <w:rsid w:val="004F1A57"/>
    <w:rsid w:val="004F1A65"/>
    <w:rsid w:val="004F1ED0"/>
    <w:rsid w:val="004F1EFF"/>
    <w:rsid w:val="004F2049"/>
    <w:rsid w:val="004F222A"/>
    <w:rsid w:val="004F27A1"/>
    <w:rsid w:val="004F2ED3"/>
    <w:rsid w:val="004F330B"/>
    <w:rsid w:val="004F35C0"/>
    <w:rsid w:val="004F375C"/>
    <w:rsid w:val="004F37B4"/>
    <w:rsid w:val="004F37CD"/>
    <w:rsid w:val="004F3825"/>
    <w:rsid w:val="004F3A6A"/>
    <w:rsid w:val="004F3E13"/>
    <w:rsid w:val="004F41A0"/>
    <w:rsid w:val="004F44C8"/>
    <w:rsid w:val="004F4532"/>
    <w:rsid w:val="004F453C"/>
    <w:rsid w:val="004F4621"/>
    <w:rsid w:val="004F4689"/>
    <w:rsid w:val="004F4B67"/>
    <w:rsid w:val="004F4D7F"/>
    <w:rsid w:val="004F5E00"/>
    <w:rsid w:val="004F659F"/>
    <w:rsid w:val="004F6940"/>
    <w:rsid w:val="004F6B30"/>
    <w:rsid w:val="004F6BF2"/>
    <w:rsid w:val="004F6F0E"/>
    <w:rsid w:val="004F6F36"/>
    <w:rsid w:val="004F7279"/>
    <w:rsid w:val="004F72CE"/>
    <w:rsid w:val="004F75BC"/>
    <w:rsid w:val="004F7C58"/>
    <w:rsid w:val="004F7C7A"/>
    <w:rsid w:val="005002AB"/>
    <w:rsid w:val="00500551"/>
    <w:rsid w:val="0050086C"/>
    <w:rsid w:val="0050161D"/>
    <w:rsid w:val="005016C5"/>
    <w:rsid w:val="00501A74"/>
    <w:rsid w:val="00501B4F"/>
    <w:rsid w:val="00501FC9"/>
    <w:rsid w:val="00502338"/>
    <w:rsid w:val="005024D6"/>
    <w:rsid w:val="0050260E"/>
    <w:rsid w:val="00502C50"/>
    <w:rsid w:val="00503146"/>
    <w:rsid w:val="005031DE"/>
    <w:rsid w:val="005031FE"/>
    <w:rsid w:val="005034BE"/>
    <w:rsid w:val="00503715"/>
    <w:rsid w:val="00503874"/>
    <w:rsid w:val="00503AB3"/>
    <w:rsid w:val="00503DDD"/>
    <w:rsid w:val="0050422F"/>
    <w:rsid w:val="0050436C"/>
    <w:rsid w:val="00504644"/>
    <w:rsid w:val="00504A8B"/>
    <w:rsid w:val="00504F74"/>
    <w:rsid w:val="00505330"/>
    <w:rsid w:val="00505808"/>
    <w:rsid w:val="00505A0D"/>
    <w:rsid w:val="00505AD6"/>
    <w:rsid w:val="0050669C"/>
    <w:rsid w:val="0050697E"/>
    <w:rsid w:val="00506BAB"/>
    <w:rsid w:val="00506D3E"/>
    <w:rsid w:val="00506D96"/>
    <w:rsid w:val="005070E4"/>
    <w:rsid w:val="0050771C"/>
    <w:rsid w:val="00507DC5"/>
    <w:rsid w:val="005108C3"/>
    <w:rsid w:val="005109EE"/>
    <w:rsid w:val="00510B12"/>
    <w:rsid w:val="00510B31"/>
    <w:rsid w:val="00510D20"/>
    <w:rsid w:val="00510E6E"/>
    <w:rsid w:val="00511405"/>
    <w:rsid w:val="00511AAA"/>
    <w:rsid w:val="00512018"/>
    <w:rsid w:val="0051246F"/>
    <w:rsid w:val="00512BBA"/>
    <w:rsid w:val="00512FBF"/>
    <w:rsid w:val="0051301B"/>
    <w:rsid w:val="005132F3"/>
    <w:rsid w:val="00513848"/>
    <w:rsid w:val="00513D23"/>
    <w:rsid w:val="00513FDE"/>
    <w:rsid w:val="005144A4"/>
    <w:rsid w:val="00514741"/>
    <w:rsid w:val="00514B67"/>
    <w:rsid w:val="00514BF6"/>
    <w:rsid w:val="00514FA1"/>
    <w:rsid w:val="00515C29"/>
    <w:rsid w:val="00515C69"/>
    <w:rsid w:val="005162BF"/>
    <w:rsid w:val="00516470"/>
    <w:rsid w:val="005165F7"/>
    <w:rsid w:val="00516733"/>
    <w:rsid w:val="005174C9"/>
    <w:rsid w:val="00517532"/>
    <w:rsid w:val="00517575"/>
    <w:rsid w:val="00517699"/>
    <w:rsid w:val="00517BED"/>
    <w:rsid w:val="00520068"/>
    <w:rsid w:val="005204E7"/>
    <w:rsid w:val="005215B6"/>
    <w:rsid w:val="005217FE"/>
    <w:rsid w:val="00521B15"/>
    <w:rsid w:val="0052221A"/>
    <w:rsid w:val="0052223F"/>
    <w:rsid w:val="005225E4"/>
    <w:rsid w:val="0052267B"/>
    <w:rsid w:val="00522804"/>
    <w:rsid w:val="00522AD6"/>
    <w:rsid w:val="00522B6D"/>
    <w:rsid w:val="005233A6"/>
    <w:rsid w:val="0052345F"/>
    <w:rsid w:val="005237F4"/>
    <w:rsid w:val="005237F8"/>
    <w:rsid w:val="00523DF5"/>
    <w:rsid w:val="00523FA1"/>
    <w:rsid w:val="00524129"/>
    <w:rsid w:val="005243C2"/>
    <w:rsid w:val="0052440A"/>
    <w:rsid w:val="00524415"/>
    <w:rsid w:val="00524D2B"/>
    <w:rsid w:val="00524E66"/>
    <w:rsid w:val="005250D9"/>
    <w:rsid w:val="0052521D"/>
    <w:rsid w:val="005259B3"/>
    <w:rsid w:val="00525B79"/>
    <w:rsid w:val="00525C2E"/>
    <w:rsid w:val="00525F55"/>
    <w:rsid w:val="0052674D"/>
    <w:rsid w:val="005268FE"/>
    <w:rsid w:val="00526C49"/>
    <w:rsid w:val="00526E0C"/>
    <w:rsid w:val="00527055"/>
    <w:rsid w:val="00527AA5"/>
    <w:rsid w:val="00527ACD"/>
    <w:rsid w:val="00527D2D"/>
    <w:rsid w:val="00527FE6"/>
    <w:rsid w:val="00530119"/>
    <w:rsid w:val="00530509"/>
    <w:rsid w:val="0053068E"/>
    <w:rsid w:val="005308E4"/>
    <w:rsid w:val="00530A15"/>
    <w:rsid w:val="00530C03"/>
    <w:rsid w:val="00530EA0"/>
    <w:rsid w:val="005310EE"/>
    <w:rsid w:val="00531537"/>
    <w:rsid w:val="0053187C"/>
    <w:rsid w:val="00531E13"/>
    <w:rsid w:val="0053222F"/>
    <w:rsid w:val="00532BD7"/>
    <w:rsid w:val="00532D60"/>
    <w:rsid w:val="00533AA1"/>
    <w:rsid w:val="00533E9B"/>
    <w:rsid w:val="0053453D"/>
    <w:rsid w:val="00534C02"/>
    <w:rsid w:val="00534CF0"/>
    <w:rsid w:val="005352C8"/>
    <w:rsid w:val="00535AA9"/>
    <w:rsid w:val="00535B43"/>
    <w:rsid w:val="00535C7A"/>
    <w:rsid w:val="00535D23"/>
    <w:rsid w:val="00536411"/>
    <w:rsid w:val="0053644D"/>
    <w:rsid w:val="005367B9"/>
    <w:rsid w:val="005368F9"/>
    <w:rsid w:val="00536C72"/>
    <w:rsid w:val="00536D51"/>
    <w:rsid w:val="005371CE"/>
    <w:rsid w:val="00537AC4"/>
    <w:rsid w:val="00537C66"/>
    <w:rsid w:val="00537F22"/>
    <w:rsid w:val="00537F70"/>
    <w:rsid w:val="005402AE"/>
    <w:rsid w:val="005403A6"/>
    <w:rsid w:val="005407FB"/>
    <w:rsid w:val="00540800"/>
    <w:rsid w:val="00540BED"/>
    <w:rsid w:val="00541474"/>
    <w:rsid w:val="0054157C"/>
    <w:rsid w:val="0054161E"/>
    <w:rsid w:val="00541891"/>
    <w:rsid w:val="00541946"/>
    <w:rsid w:val="00541AB9"/>
    <w:rsid w:val="00541CAE"/>
    <w:rsid w:val="00541E7E"/>
    <w:rsid w:val="00541EF9"/>
    <w:rsid w:val="00542331"/>
    <w:rsid w:val="00542522"/>
    <w:rsid w:val="0054253D"/>
    <w:rsid w:val="005425B0"/>
    <w:rsid w:val="00542A8D"/>
    <w:rsid w:val="00543172"/>
    <w:rsid w:val="005431FB"/>
    <w:rsid w:val="005432C9"/>
    <w:rsid w:val="005432F0"/>
    <w:rsid w:val="005435AF"/>
    <w:rsid w:val="00543D91"/>
    <w:rsid w:val="00543F41"/>
    <w:rsid w:val="00544111"/>
    <w:rsid w:val="0054434B"/>
    <w:rsid w:val="005447E0"/>
    <w:rsid w:val="0054484F"/>
    <w:rsid w:val="00544C51"/>
    <w:rsid w:val="00544CA7"/>
    <w:rsid w:val="00544D41"/>
    <w:rsid w:val="00544D78"/>
    <w:rsid w:val="00544EDA"/>
    <w:rsid w:val="0054520F"/>
    <w:rsid w:val="005457BE"/>
    <w:rsid w:val="0054587D"/>
    <w:rsid w:val="005460E2"/>
    <w:rsid w:val="005461D5"/>
    <w:rsid w:val="0054678A"/>
    <w:rsid w:val="00546D39"/>
    <w:rsid w:val="0054703F"/>
    <w:rsid w:val="00547153"/>
    <w:rsid w:val="005472A4"/>
    <w:rsid w:val="005474F2"/>
    <w:rsid w:val="005475B4"/>
    <w:rsid w:val="005475B7"/>
    <w:rsid w:val="00547710"/>
    <w:rsid w:val="00547860"/>
    <w:rsid w:val="005478D4"/>
    <w:rsid w:val="00547992"/>
    <w:rsid w:val="00547FF8"/>
    <w:rsid w:val="005501B3"/>
    <w:rsid w:val="0055030C"/>
    <w:rsid w:val="00550429"/>
    <w:rsid w:val="0055063D"/>
    <w:rsid w:val="00550D55"/>
    <w:rsid w:val="005515D1"/>
    <w:rsid w:val="0055169B"/>
    <w:rsid w:val="0055198B"/>
    <w:rsid w:val="00551B4B"/>
    <w:rsid w:val="00551F28"/>
    <w:rsid w:val="00551F97"/>
    <w:rsid w:val="00551FC5"/>
    <w:rsid w:val="00552364"/>
    <w:rsid w:val="00552498"/>
    <w:rsid w:val="0055274C"/>
    <w:rsid w:val="00552AE1"/>
    <w:rsid w:val="005537F7"/>
    <w:rsid w:val="00553A58"/>
    <w:rsid w:val="00553CDC"/>
    <w:rsid w:val="0055409E"/>
    <w:rsid w:val="005543BF"/>
    <w:rsid w:val="00554A66"/>
    <w:rsid w:val="00554FAF"/>
    <w:rsid w:val="005550D3"/>
    <w:rsid w:val="00555853"/>
    <w:rsid w:val="00555AD1"/>
    <w:rsid w:val="00555B76"/>
    <w:rsid w:val="00555E45"/>
    <w:rsid w:val="00556146"/>
    <w:rsid w:val="0055618D"/>
    <w:rsid w:val="005567E6"/>
    <w:rsid w:val="0055688B"/>
    <w:rsid w:val="00556B89"/>
    <w:rsid w:val="00556F18"/>
    <w:rsid w:val="00556F42"/>
    <w:rsid w:val="0055726A"/>
    <w:rsid w:val="0055740A"/>
    <w:rsid w:val="00557452"/>
    <w:rsid w:val="005576CA"/>
    <w:rsid w:val="00557918"/>
    <w:rsid w:val="00557AB5"/>
    <w:rsid w:val="00557B21"/>
    <w:rsid w:val="00557C1F"/>
    <w:rsid w:val="00557C3E"/>
    <w:rsid w:val="00560210"/>
    <w:rsid w:val="00560259"/>
    <w:rsid w:val="00560645"/>
    <w:rsid w:val="00560911"/>
    <w:rsid w:val="00560BBD"/>
    <w:rsid w:val="0056133A"/>
    <w:rsid w:val="00561368"/>
    <w:rsid w:val="005614AD"/>
    <w:rsid w:val="005619E9"/>
    <w:rsid w:val="00561B3A"/>
    <w:rsid w:val="00561CBA"/>
    <w:rsid w:val="00562048"/>
    <w:rsid w:val="0056209A"/>
    <w:rsid w:val="0056213C"/>
    <w:rsid w:val="00562670"/>
    <w:rsid w:val="00562705"/>
    <w:rsid w:val="00562A8A"/>
    <w:rsid w:val="005630D0"/>
    <w:rsid w:val="00563CBB"/>
    <w:rsid w:val="00563F24"/>
    <w:rsid w:val="005641AD"/>
    <w:rsid w:val="00564528"/>
    <w:rsid w:val="00564B21"/>
    <w:rsid w:val="00564BBA"/>
    <w:rsid w:val="00565563"/>
    <w:rsid w:val="00565C48"/>
    <w:rsid w:val="00566199"/>
    <w:rsid w:val="00566314"/>
    <w:rsid w:val="00566455"/>
    <w:rsid w:val="00566A08"/>
    <w:rsid w:val="00566B8A"/>
    <w:rsid w:val="00566C25"/>
    <w:rsid w:val="00567642"/>
    <w:rsid w:val="00567B00"/>
    <w:rsid w:val="00567B9B"/>
    <w:rsid w:val="00567D2A"/>
    <w:rsid w:val="00567E04"/>
    <w:rsid w:val="00567E61"/>
    <w:rsid w:val="0057043B"/>
    <w:rsid w:val="005707D2"/>
    <w:rsid w:val="00570E18"/>
    <w:rsid w:val="005710D9"/>
    <w:rsid w:val="0057164B"/>
    <w:rsid w:val="00571D40"/>
    <w:rsid w:val="00571E99"/>
    <w:rsid w:val="00572398"/>
    <w:rsid w:val="005727AC"/>
    <w:rsid w:val="00572888"/>
    <w:rsid w:val="00572A1F"/>
    <w:rsid w:val="00572FC4"/>
    <w:rsid w:val="00573692"/>
    <w:rsid w:val="0057388D"/>
    <w:rsid w:val="005738D6"/>
    <w:rsid w:val="00574013"/>
    <w:rsid w:val="00574588"/>
    <w:rsid w:val="00574897"/>
    <w:rsid w:val="00574AAA"/>
    <w:rsid w:val="00574B73"/>
    <w:rsid w:val="00575239"/>
    <w:rsid w:val="00575320"/>
    <w:rsid w:val="005754F1"/>
    <w:rsid w:val="00575F1D"/>
    <w:rsid w:val="00576004"/>
    <w:rsid w:val="0057614D"/>
    <w:rsid w:val="00576155"/>
    <w:rsid w:val="00576660"/>
    <w:rsid w:val="005766DB"/>
    <w:rsid w:val="00576C0E"/>
    <w:rsid w:val="005775A8"/>
    <w:rsid w:val="00577A7E"/>
    <w:rsid w:val="00577B8D"/>
    <w:rsid w:val="00577D86"/>
    <w:rsid w:val="00577F2A"/>
    <w:rsid w:val="00580753"/>
    <w:rsid w:val="00580B45"/>
    <w:rsid w:val="00580B6A"/>
    <w:rsid w:val="00581025"/>
    <w:rsid w:val="005813B3"/>
    <w:rsid w:val="005815EE"/>
    <w:rsid w:val="00581799"/>
    <w:rsid w:val="005818E5"/>
    <w:rsid w:val="00581976"/>
    <w:rsid w:val="00581C3C"/>
    <w:rsid w:val="00581D1B"/>
    <w:rsid w:val="00581E26"/>
    <w:rsid w:val="00582760"/>
    <w:rsid w:val="005828CA"/>
    <w:rsid w:val="005836F8"/>
    <w:rsid w:val="00583721"/>
    <w:rsid w:val="00583812"/>
    <w:rsid w:val="00583822"/>
    <w:rsid w:val="00583B7D"/>
    <w:rsid w:val="00584157"/>
    <w:rsid w:val="00584393"/>
    <w:rsid w:val="005845DB"/>
    <w:rsid w:val="0058481B"/>
    <w:rsid w:val="00584ED1"/>
    <w:rsid w:val="0058525E"/>
    <w:rsid w:val="005854A3"/>
    <w:rsid w:val="00585CD1"/>
    <w:rsid w:val="00585D3E"/>
    <w:rsid w:val="00586515"/>
    <w:rsid w:val="005865F6"/>
    <w:rsid w:val="00586696"/>
    <w:rsid w:val="00586755"/>
    <w:rsid w:val="00586926"/>
    <w:rsid w:val="00586F44"/>
    <w:rsid w:val="005873E7"/>
    <w:rsid w:val="00587FCE"/>
    <w:rsid w:val="005901EB"/>
    <w:rsid w:val="0059021C"/>
    <w:rsid w:val="0059024E"/>
    <w:rsid w:val="00590697"/>
    <w:rsid w:val="00590917"/>
    <w:rsid w:val="005909F0"/>
    <w:rsid w:val="00590C6F"/>
    <w:rsid w:val="00590CF0"/>
    <w:rsid w:val="00590E6B"/>
    <w:rsid w:val="00590F57"/>
    <w:rsid w:val="00590F9C"/>
    <w:rsid w:val="0059151F"/>
    <w:rsid w:val="0059173A"/>
    <w:rsid w:val="00591C9E"/>
    <w:rsid w:val="00591CBD"/>
    <w:rsid w:val="00591CFF"/>
    <w:rsid w:val="00592682"/>
    <w:rsid w:val="00592749"/>
    <w:rsid w:val="00592A6D"/>
    <w:rsid w:val="00592AAF"/>
    <w:rsid w:val="00592D8B"/>
    <w:rsid w:val="00592F78"/>
    <w:rsid w:val="0059317F"/>
    <w:rsid w:val="005932B6"/>
    <w:rsid w:val="00593B88"/>
    <w:rsid w:val="0059423A"/>
    <w:rsid w:val="0059465D"/>
    <w:rsid w:val="00594DEA"/>
    <w:rsid w:val="00594F35"/>
    <w:rsid w:val="00594FDC"/>
    <w:rsid w:val="00595726"/>
    <w:rsid w:val="00595FBA"/>
    <w:rsid w:val="00596070"/>
    <w:rsid w:val="005961CF"/>
    <w:rsid w:val="00596224"/>
    <w:rsid w:val="00596975"/>
    <w:rsid w:val="00596C75"/>
    <w:rsid w:val="00596FA1"/>
    <w:rsid w:val="005971DB"/>
    <w:rsid w:val="00597984"/>
    <w:rsid w:val="00597C39"/>
    <w:rsid w:val="005A0518"/>
    <w:rsid w:val="005A0631"/>
    <w:rsid w:val="005A076B"/>
    <w:rsid w:val="005A13AD"/>
    <w:rsid w:val="005A19EE"/>
    <w:rsid w:val="005A1AD8"/>
    <w:rsid w:val="005A1B46"/>
    <w:rsid w:val="005A1BC5"/>
    <w:rsid w:val="005A1CB3"/>
    <w:rsid w:val="005A234D"/>
    <w:rsid w:val="005A2385"/>
    <w:rsid w:val="005A2497"/>
    <w:rsid w:val="005A25B7"/>
    <w:rsid w:val="005A2D3E"/>
    <w:rsid w:val="005A3145"/>
    <w:rsid w:val="005A3284"/>
    <w:rsid w:val="005A3604"/>
    <w:rsid w:val="005A380D"/>
    <w:rsid w:val="005A3940"/>
    <w:rsid w:val="005A394B"/>
    <w:rsid w:val="005A3A8B"/>
    <w:rsid w:val="005A413C"/>
    <w:rsid w:val="005A449F"/>
    <w:rsid w:val="005A4804"/>
    <w:rsid w:val="005A4B3D"/>
    <w:rsid w:val="005A51D9"/>
    <w:rsid w:val="005A56F8"/>
    <w:rsid w:val="005A58D0"/>
    <w:rsid w:val="005A5B14"/>
    <w:rsid w:val="005A5B40"/>
    <w:rsid w:val="005A5C9D"/>
    <w:rsid w:val="005A6472"/>
    <w:rsid w:val="005A6B03"/>
    <w:rsid w:val="005A6B62"/>
    <w:rsid w:val="005A717E"/>
    <w:rsid w:val="005A732C"/>
    <w:rsid w:val="005A76D8"/>
    <w:rsid w:val="005A78DB"/>
    <w:rsid w:val="005A7AAA"/>
    <w:rsid w:val="005B03D1"/>
    <w:rsid w:val="005B05C7"/>
    <w:rsid w:val="005B06AA"/>
    <w:rsid w:val="005B0797"/>
    <w:rsid w:val="005B0CC2"/>
    <w:rsid w:val="005B0E95"/>
    <w:rsid w:val="005B111F"/>
    <w:rsid w:val="005B120E"/>
    <w:rsid w:val="005B1626"/>
    <w:rsid w:val="005B17D5"/>
    <w:rsid w:val="005B194C"/>
    <w:rsid w:val="005B1C1B"/>
    <w:rsid w:val="005B1FE7"/>
    <w:rsid w:val="005B256A"/>
    <w:rsid w:val="005B3BC9"/>
    <w:rsid w:val="005B3EE7"/>
    <w:rsid w:val="005B4221"/>
    <w:rsid w:val="005B4263"/>
    <w:rsid w:val="005B42B0"/>
    <w:rsid w:val="005B4583"/>
    <w:rsid w:val="005B4602"/>
    <w:rsid w:val="005B470C"/>
    <w:rsid w:val="005B4AA2"/>
    <w:rsid w:val="005B4AEB"/>
    <w:rsid w:val="005B5639"/>
    <w:rsid w:val="005B58DF"/>
    <w:rsid w:val="005B5915"/>
    <w:rsid w:val="005B5C8D"/>
    <w:rsid w:val="005B624A"/>
    <w:rsid w:val="005B63C4"/>
    <w:rsid w:val="005B6B6D"/>
    <w:rsid w:val="005B6CBD"/>
    <w:rsid w:val="005B6E68"/>
    <w:rsid w:val="005B732D"/>
    <w:rsid w:val="005B764F"/>
    <w:rsid w:val="005B7820"/>
    <w:rsid w:val="005B7B73"/>
    <w:rsid w:val="005B7D5E"/>
    <w:rsid w:val="005C035B"/>
    <w:rsid w:val="005C04D1"/>
    <w:rsid w:val="005C04E3"/>
    <w:rsid w:val="005C0883"/>
    <w:rsid w:val="005C0F7D"/>
    <w:rsid w:val="005C13CE"/>
    <w:rsid w:val="005C163E"/>
    <w:rsid w:val="005C1801"/>
    <w:rsid w:val="005C18D5"/>
    <w:rsid w:val="005C1B7B"/>
    <w:rsid w:val="005C1D49"/>
    <w:rsid w:val="005C1D94"/>
    <w:rsid w:val="005C22FD"/>
    <w:rsid w:val="005C248C"/>
    <w:rsid w:val="005C2562"/>
    <w:rsid w:val="005C29CF"/>
    <w:rsid w:val="005C32B2"/>
    <w:rsid w:val="005C34E4"/>
    <w:rsid w:val="005C3C15"/>
    <w:rsid w:val="005C3D47"/>
    <w:rsid w:val="005C409E"/>
    <w:rsid w:val="005C4145"/>
    <w:rsid w:val="005C4BE3"/>
    <w:rsid w:val="005C4DE6"/>
    <w:rsid w:val="005C4E6D"/>
    <w:rsid w:val="005C4F64"/>
    <w:rsid w:val="005C571B"/>
    <w:rsid w:val="005C5ECD"/>
    <w:rsid w:val="005C60FD"/>
    <w:rsid w:val="005C6146"/>
    <w:rsid w:val="005C632B"/>
    <w:rsid w:val="005C63AA"/>
    <w:rsid w:val="005C655F"/>
    <w:rsid w:val="005C66BA"/>
    <w:rsid w:val="005C68A2"/>
    <w:rsid w:val="005C6B07"/>
    <w:rsid w:val="005C6C13"/>
    <w:rsid w:val="005C6C20"/>
    <w:rsid w:val="005C6F40"/>
    <w:rsid w:val="005C6FFA"/>
    <w:rsid w:val="005C7252"/>
    <w:rsid w:val="005C75B0"/>
    <w:rsid w:val="005C78CF"/>
    <w:rsid w:val="005C7A10"/>
    <w:rsid w:val="005C7B7D"/>
    <w:rsid w:val="005C7DEC"/>
    <w:rsid w:val="005D00C2"/>
    <w:rsid w:val="005D0108"/>
    <w:rsid w:val="005D0C02"/>
    <w:rsid w:val="005D13B1"/>
    <w:rsid w:val="005D170C"/>
    <w:rsid w:val="005D20B2"/>
    <w:rsid w:val="005D225D"/>
    <w:rsid w:val="005D2491"/>
    <w:rsid w:val="005D27F2"/>
    <w:rsid w:val="005D29A6"/>
    <w:rsid w:val="005D2D5F"/>
    <w:rsid w:val="005D30BC"/>
    <w:rsid w:val="005D3287"/>
    <w:rsid w:val="005D37F4"/>
    <w:rsid w:val="005D39F8"/>
    <w:rsid w:val="005D3A04"/>
    <w:rsid w:val="005D4064"/>
    <w:rsid w:val="005D43FC"/>
    <w:rsid w:val="005D4459"/>
    <w:rsid w:val="005D4589"/>
    <w:rsid w:val="005D466A"/>
    <w:rsid w:val="005D470A"/>
    <w:rsid w:val="005D48A3"/>
    <w:rsid w:val="005D48B7"/>
    <w:rsid w:val="005D4AF2"/>
    <w:rsid w:val="005D59A7"/>
    <w:rsid w:val="005D5F11"/>
    <w:rsid w:val="005D60C5"/>
    <w:rsid w:val="005D6427"/>
    <w:rsid w:val="005D6729"/>
    <w:rsid w:val="005D67A6"/>
    <w:rsid w:val="005D7157"/>
    <w:rsid w:val="005E0095"/>
    <w:rsid w:val="005E058E"/>
    <w:rsid w:val="005E0C47"/>
    <w:rsid w:val="005E0C5B"/>
    <w:rsid w:val="005E0FD5"/>
    <w:rsid w:val="005E1825"/>
    <w:rsid w:val="005E18BC"/>
    <w:rsid w:val="005E1B54"/>
    <w:rsid w:val="005E1D69"/>
    <w:rsid w:val="005E2047"/>
    <w:rsid w:val="005E26A1"/>
    <w:rsid w:val="005E270B"/>
    <w:rsid w:val="005E2A68"/>
    <w:rsid w:val="005E2C64"/>
    <w:rsid w:val="005E2EC4"/>
    <w:rsid w:val="005E2FE2"/>
    <w:rsid w:val="005E34FC"/>
    <w:rsid w:val="005E3539"/>
    <w:rsid w:val="005E378B"/>
    <w:rsid w:val="005E3BCF"/>
    <w:rsid w:val="005E3DB4"/>
    <w:rsid w:val="005E3DFF"/>
    <w:rsid w:val="005E4031"/>
    <w:rsid w:val="005E440D"/>
    <w:rsid w:val="005E492C"/>
    <w:rsid w:val="005E492D"/>
    <w:rsid w:val="005E4C63"/>
    <w:rsid w:val="005E4FE5"/>
    <w:rsid w:val="005E512F"/>
    <w:rsid w:val="005E52CA"/>
    <w:rsid w:val="005E5569"/>
    <w:rsid w:val="005E55C8"/>
    <w:rsid w:val="005E58DE"/>
    <w:rsid w:val="005E5951"/>
    <w:rsid w:val="005E5A1C"/>
    <w:rsid w:val="005E5B43"/>
    <w:rsid w:val="005E5C6F"/>
    <w:rsid w:val="005E5E97"/>
    <w:rsid w:val="005E6505"/>
    <w:rsid w:val="005E66BF"/>
    <w:rsid w:val="005E699C"/>
    <w:rsid w:val="005E6CCC"/>
    <w:rsid w:val="005E6FC6"/>
    <w:rsid w:val="005E7030"/>
    <w:rsid w:val="005E708E"/>
    <w:rsid w:val="005E72C3"/>
    <w:rsid w:val="005E72FA"/>
    <w:rsid w:val="005E7601"/>
    <w:rsid w:val="005E7604"/>
    <w:rsid w:val="005E7921"/>
    <w:rsid w:val="005E799A"/>
    <w:rsid w:val="005E79BE"/>
    <w:rsid w:val="005E7BD4"/>
    <w:rsid w:val="005E7E8D"/>
    <w:rsid w:val="005F0104"/>
    <w:rsid w:val="005F0B87"/>
    <w:rsid w:val="005F0C15"/>
    <w:rsid w:val="005F1269"/>
    <w:rsid w:val="005F1282"/>
    <w:rsid w:val="005F1460"/>
    <w:rsid w:val="005F172C"/>
    <w:rsid w:val="005F21F0"/>
    <w:rsid w:val="005F230C"/>
    <w:rsid w:val="005F297C"/>
    <w:rsid w:val="005F2B85"/>
    <w:rsid w:val="005F2D22"/>
    <w:rsid w:val="005F307A"/>
    <w:rsid w:val="005F3114"/>
    <w:rsid w:val="005F3285"/>
    <w:rsid w:val="005F32B2"/>
    <w:rsid w:val="005F33C1"/>
    <w:rsid w:val="005F342F"/>
    <w:rsid w:val="005F3908"/>
    <w:rsid w:val="005F3D26"/>
    <w:rsid w:val="005F3F7C"/>
    <w:rsid w:val="005F41C1"/>
    <w:rsid w:val="005F4854"/>
    <w:rsid w:val="005F5295"/>
    <w:rsid w:val="005F58E3"/>
    <w:rsid w:val="005F59D8"/>
    <w:rsid w:val="005F5F4B"/>
    <w:rsid w:val="005F6053"/>
    <w:rsid w:val="005F6897"/>
    <w:rsid w:val="005F6ED8"/>
    <w:rsid w:val="005F7008"/>
    <w:rsid w:val="005F7ECA"/>
    <w:rsid w:val="0060018E"/>
    <w:rsid w:val="006001B5"/>
    <w:rsid w:val="00600646"/>
    <w:rsid w:val="00600661"/>
    <w:rsid w:val="0060088F"/>
    <w:rsid w:val="006010AE"/>
    <w:rsid w:val="00601688"/>
    <w:rsid w:val="006018C2"/>
    <w:rsid w:val="006024FC"/>
    <w:rsid w:val="00602E38"/>
    <w:rsid w:val="00602EF7"/>
    <w:rsid w:val="0060330C"/>
    <w:rsid w:val="0060337F"/>
    <w:rsid w:val="006036B9"/>
    <w:rsid w:val="00603931"/>
    <w:rsid w:val="006040BF"/>
    <w:rsid w:val="006043B7"/>
    <w:rsid w:val="00605238"/>
    <w:rsid w:val="006054EC"/>
    <w:rsid w:val="00605868"/>
    <w:rsid w:val="00605941"/>
    <w:rsid w:val="00605B4D"/>
    <w:rsid w:val="00605BAD"/>
    <w:rsid w:val="00606793"/>
    <w:rsid w:val="00606C91"/>
    <w:rsid w:val="0060702F"/>
    <w:rsid w:val="006073FE"/>
    <w:rsid w:val="00607601"/>
    <w:rsid w:val="0060764B"/>
    <w:rsid w:val="00607B65"/>
    <w:rsid w:val="00610015"/>
    <w:rsid w:val="006106C7"/>
    <w:rsid w:val="00610901"/>
    <w:rsid w:val="00610A1E"/>
    <w:rsid w:val="00610A24"/>
    <w:rsid w:val="00610BF5"/>
    <w:rsid w:val="00610DF0"/>
    <w:rsid w:val="00610E41"/>
    <w:rsid w:val="00611152"/>
    <w:rsid w:val="006113F5"/>
    <w:rsid w:val="006115A8"/>
    <w:rsid w:val="0061211F"/>
    <w:rsid w:val="00612A6A"/>
    <w:rsid w:val="00612B40"/>
    <w:rsid w:val="00612B76"/>
    <w:rsid w:val="00612CB5"/>
    <w:rsid w:val="0061312D"/>
    <w:rsid w:val="006135C1"/>
    <w:rsid w:val="0061395F"/>
    <w:rsid w:val="00613C4A"/>
    <w:rsid w:val="00613C99"/>
    <w:rsid w:val="00613CDA"/>
    <w:rsid w:val="00613D99"/>
    <w:rsid w:val="00613DB5"/>
    <w:rsid w:val="006141FF"/>
    <w:rsid w:val="00614265"/>
    <w:rsid w:val="00614B50"/>
    <w:rsid w:val="00614B76"/>
    <w:rsid w:val="00614B7D"/>
    <w:rsid w:val="00614CDF"/>
    <w:rsid w:val="00614EBE"/>
    <w:rsid w:val="00614EFC"/>
    <w:rsid w:val="0061511F"/>
    <w:rsid w:val="00615212"/>
    <w:rsid w:val="006152B4"/>
    <w:rsid w:val="006155C7"/>
    <w:rsid w:val="00615DFF"/>
    <w:rsid w:val="00615FB3"/>
    <w:rsid w:val="00616CAD"/>
    <w:rsid w:val="00616FFF"/>
    <w:rsid w:val="00617379"/>
    <w:rsid w:val="00617482"/>
    <w:rsid w:val="0061757E"/>
    <w:rsid w:val="0061770E"/>
    <w:rsid w:val="00617D6F"/>
    <w:rsid w:val="00617F2A"/>
    <w:rsid w:val="00617F8C"/>
    <w:rsid w:val="006200C9"/>
    <w:rsid w:val="0062052A"/>
    <w:rsid w:val="0062099E"/>
    <w:rsid w:val="00620B92"/>
    <w:rsid w:val="00620FBE"/>
    <w:rsid w:val="0062107F"/>
    <w:rsid w:val="00621600"/>
    <w:rsid w:val="00621983"/>
    <w:rsid w:val="00621D7A"/>
    <w:rsid w:val="00621E5C"/>
    <w:rsid w:val="006225E2"/>
    <w:rsid w:val="00622A09"/>
    <w:rsid w:val="00622AC7"/>
    <w:rsid w:val="00622CDE"/>
    <w:rsid w:val="00622EDC"/>
    <w:rsid w:val="00623951"/>
    <w:rsid w:val="006239C6"/>
    <w:rsid w:val="00623B51"/>
    <w:rsid w:val="00623F20"/>
    <w:rsid w:val="00623F80"/>
    <w:rsid w:val="00624250"/>
    <w:rsid w:val="00624450"/>
    <w:rsid w:val="00624A0A"/>
    <w:rsid w:val="00624DED"/>
    <w:rsid w:val="00624E59"/>
    <w:rsid w:val="00624EF8"/>
    <w:rsid w:val="00625136"/>
    <w:rsid w:val="006252C0"/>
    <w:rsid w:val="00625466"/>
    <w:rsid w:val="00625551"/>
    <w:rsid w:val="00625568"/>
    <w:rsid w:val="00625A2B"/>
    <w:rsid w:val="00625D12"/>
    <w:rsid w:val="00625EC9"/>
    <w:rsid w:val="00626531"/>
    <w:rsid w:val="00626A5E"/>
    <w:rsid w:val="00626ADB"/>
    <w:rsid w:val="00626ADD"/>
    <w:rsid w:val="00626CC1"/>
    <w:rsid w:val="0062700F"/>
    <w:rsid w:val="00627227"/>
    <w:rsid w:val="0062775E"/>
    <w:rsid w:val="00627B8D"/>
    <w:rsid w:val="00627DB9"/>
    <w:rsid w:val="00627DE7"/>
    <w:rsid w:val="006303D9"/>
    <w:rsid w:val="0063052E"/>
    <w:rsid w:val="00630CFA"/>
    <w:rsid w:val="006311C4"/>
    <w:rsid w:val="00631519"/>
    <w:rsid w:val="006315ED"/>
    <w:rsid w:val="00631764"/>
    <w:rsid w:val="00631DC7"/>
    <w:rsid w:val="00631DDD"/>
    <w:rsid w:val="006323F4"/>
    <w:rsid w:val="00632726"/>
    <w:rsid w:val="00632B1D"/>
    <w:rsid w:val="00633072"/>
    <w:rsid w:val="00633232"/>
    <w:rsid w:val="006335ED"/>
    <w:rsid w:val="006337BA"/>
    <w:rsid w:val="00633A51"/>
    <w:rsid w:val="00633B49"/>
    <w:rsid w:val="00634337"/>
    <w:rsid w:val="006343D9"/>
    <w:rsid w:val="006344F5"/>
    <w:rsid w:val="006346BE"/>
    <w:rsid w:val="006347F6"/>
    <w:rsid w:val="0063555D"/>
    <w:rsid w:val="00635630"/>
    <w:rsid w:val="00635652"/>
    <w:rsid w:val="006357AA"/>
    <w:rsid w:val="00635C89"/>
    <w:rsid w:val="00635CF9"/>
    <w:rsid w:val="00635DFE"/>
    <w:rsid w:val="00636551"/>
    <w:rsid w:val="00636761"/>
    <w:rsid w:val="00637017"/>
    <w:rsid w:val="006372E1"/>
    <w:rsid w:val="006375C6"/>
    <w:rsid w:val="00637640"/>
    <w:rsid w:val="006379FC"/>
    <w:rsid w:val="00637BB6"/>
    <w:rsid w:val="00637DCC"/>
    <w:rsid w:val="00637FBA"/>
    <w:rsid w:val="0064012D"/>
    <w:rsid w:val="006408A5"/>
    <w:rsid w:val="00640B1A"/>
    <w:rsid w:val="00641128"/>
    <w:rsid w:val="0064130B"/>
    <w:rsid w:val="006416C0"/>
    <w:rsid w:val="0064179A"/>
    <w:rsid w:val="00641B6E"/>
    <w:rsid w:val="00641CD2"/>
    <w:rsid w:val="00641F10"/>
    <w:rsid w:val="006427B2"/>
    <w:rsid w:val="006429E4"/>
    <w:rsid w:val="00642C6D"/>
    <w:rsid w:val="00642D34"/>
    <w:rsid w:val="00642F0B"/>
    <w:rsid w:val="0064301B"/>
    <w:rsid w:val="00643457"/>
    <w:rsid w:val="00643466"/>
    <w:rsid w:val="006434B2"/>
    <w:rsid w:val="0064365D"/>
    <w:rsid w:val="00643707"/>
    <w:rsid w:val="00643734"/>
    <w:rsid w:val="00643A47"/>
    <w:rsid w:val="00643BB9"/>
    <w:rsid w:val="00643CBD"/>
    <w:rsid w:val="006440B2"/>
    <w:rsid w:val="006442FE"/>
    <w:rsid w:val="0064444F"/>
    <w:rsid w:val="00644454"/>
    <w:rsid w:val="00644462"/>
    <w:rsid w:val="00644788"/>
    <w:rsid w:val="00644D54"/>
    <w:rsid w:val="00644E58"/>
    <w:rsid w:val="00644FC7"/>
    <w:rsid w:val="006450EF"/>
    <w:rsid w:val="00645473"/>
    <w:rsid w:val="006456BF"/>
    <w:rsid w:val="006458AF"/>
    <w:rsid w:val="006458EE"/>
    <w:rsid w:val="00645A1E"/>
    <w:rsid w:val="00645AC6"/>
    <w:rsid w:val="00645BB5"/>
    <w:rsid w:val="00645D8A"/>
    <w:rsid w:val="00646356"/>
    <w:rsid w:val="0064661B"/>
    <w:rsid w:val="00646657"/>
    <w:rsid w:val="00646E2B"/>
    <w:rsid w:val="00646FD7"/>
    <w:rsid w:val="006472C5"/>
    <w:rsid w:val="006472D9"/>
    <w:rsid w:val="006472E2"/>
    <w:rsid w:val="00647608"/>
    <w:rsid w:val="00647F6C"/>
    <w:rsid w:val="006500E0"/>
    <w:rsid w:val="00650208"/>
    <w:rsid w:val="00650217"/>
    <w:rsid w:val="00650399"/>
    <w:rsid w:val="006504E4"/>
    <w:rsid w:val="00650969"/>
    <w:rsid w:val="006509EF"/>
    <w:rsid w:val="00650BC8"/>
    <w:rsid w:val="00650EAF"/>
    <w:rsid w:val="0065114F"/>
    <w:rsid w:val="006515A5"/>
    <w:rsid w:val="00652108"/>
    <w:rsid w:val="006524AE"/>
    <w:rsid w:val="006525B8"/>
    <w:rsid w:val="006528A7"/>
    <w:rsid w:val="006529E8"/>
    <w:rsid w:val="00652C0C"/>
    <w:rsid w:val="00652DF9"/>
    <w:rsid w:val="00652F20"/>
    <w:rsid w:val="00653204"/>
    <w:rsid w:val="00653560"/>
    <w:rsid w:val="00654275"/>
    <w:rsid w:val="00654285"/>
    <w:rsid w:val="00654397"/>
    <w:rsid w:val="006547E2"/>
    <w:rsid w:val="006549DD"/>
    <w:rsid w:val="00654C71"/>
    <w:rsid w:val="00655303"/>
    <w:rsid w:val="006555EF"/>
    <w:rsid w:val="00655870"/>
    <w:rsid w:val="00655926"/>
    <w:rsid w:val="00655B41"/>
    <w:rsid w:val="00655BA6"/>
    <w:rsid w:val="00655D3A"/>
    <w:rsid w:val="00655D4F"/>
    <w:rsid w:val="0065608F"/>
    <w:rsid w:val="006560A7"/>
    <w:rsid w:val="00656107"/>
    <w:rsid w:val="00656117"/>
    <w:rsid w:val="00656247"/>
    <w:rsid w:val="00656564"/>
    <w:rsid w:val="0065671F"/>
    <w:rsid w:val="00656B53"/>
    <w:rsid w:val="00657A67"/>
    <w:rsid w:val="0066028F"/>
    <w:rsid w:val="0066073B"/>
    <w:rsid w:val="00660911"/>
    <w:rsid w:val="00660995"/>
    <w:rsid w:val="00660B91"/>
    <w:rsid w:val="00660BB8"/>
    <w:rsid w:val="00660CD8"/>
    <w:rsid w:val="00660FA4"/>
    <w:rsid w:val="0066110D"/>
    <w:rsid w:val="006611C3"/>
    <w:rsid w:val="00661785"/>
    <w:rsid w:val="0066178F"/>
    <w:rsid w:val="00662458"/>
    <w:rsid w:val="00662813"/>
    <w:rsid w:val="0066297C"/>
    <w:rsid w:val="00662C5A"/>
    <w:rsid w:val="00662D20"/>
    <w:rsid w:val="006630AE"/>
    <w:rsid w:val="0066334F"/>
    <w:rsid w:val="00663583"/>
    <w:rsid w:val="006638D5"/>
    <w:rsid w:val="00663A14"/>
    <w:rsid w:val="00663A71"/>
    <w:rsid w:val="006643D7"/>
    <w:rsid w:val="00664629"/>
    <w:rsid w:val="00664657"/>
    <w:rsid w:val="00664CDD"/>
    <w:rsid w:val="00664E9E"/>
    <w:rsid w:val="006651D3"/>
    <w:rsid w:val="00665512"/>
    <w:rsid w:val="0066565F"/>
    <w:rsid w:val="00665A0F"/>
    <w:rsid w:val="00665A6A"/>
    <w:rsid w:val="00665ED0"/>
    <w:rsid w:val="00665F7F"/>
    <w:rsid w:val="00666335"/>
    <w:rsid w:val="00666418"/>
    <w:rsid w:val="0066655A"/>
    <w:rsid w:val="00666953"/>
    <w:rsid w:val="00666C59"/>
    <w:rsid w:val="00666FD8"/>
    <w:rsid w:val="00667259"/>
    <w:rsid w:val="006672CA"/>
    <w:rsid w:val="00667312"/>
    <w:rsid w:val="00667665"/>
    <w:rsid w:val="0066781F"/>
    <w:rsid w:val="00667AD4"/>
    <w:rsid w:val="00667D8B"/>
    <w:rsid w:val="006703D2"/>
    <w:rsid w:val="00670768"/>
    <w:rsid w:val="0067089D"/>
    <w:rsid w:val="00670C23"/>
    <w:rsid w:val="00671161"/>
    <w:rsid w:val="006711AE"/>
    <w:rsid w:val="00671498"/>
    <w:rsid w:val="006714BF"/>
    <w:rsid w:val="0067152B"/>
    <w:rsid w:val="0067157C"/>
    <w:rsid w:val="00671819"/>
    <w:rsid w:val="00671881"/>
    <w:rsid w:val="006718EB"/>
    <w:rsid w:val="00671921"/>
    <w:rsid w:val="00671E7D"/>
    <w:rsid w:val="00672325"/>
    <w:rsid w:val="00672912"/>
    <w:rsid w:val="0067298D"/>
    <w:rsid w:val="006730BA"/>
    <w:rsid w:val="00673373"/>
    <w:rsid w:val="00673717"/>
    <w:rsid w:val="00673F69"/>
    <w:rsid w:val="00674321"/>
    <w:rsid w:val="0067444B"/>
    <w:rsid w:val="00674784"/>
    <w:rsid w:val="00674792"/>
    <w:rsid w:val="00674B05"/>
    <w:rsid w:val="00674D54"/>
    <w:rsid w:val="00674D85"/>
    <w:rsid w:val="0067597E"/>
    <w:rsid w:val="00675EE4"/>
    <w:rsid w:val="00675F6F"/>
    <w:rsid w:val="0067712E"/>
    <w:rsid w:val="006771CD"/>
    <w:rsid w:val="0067725C"/>
    <w:rsid w:val="006773BE"/>
    <w:rsid w:val="00677492"/>
    <w:rsid w:val="00677493"/>
    <w:rsid w:val="00677888"/>
    <w:rsid w:val="006778D8"/>
    <w:rsid w:val="006779E3"/>
    <w:rsid w:val="00677F40"/>
    <w:rsid w:val="006800E1"/>
    <w:rsid w:val="00680642"/>
    <w:rsid w:val="006807E8"/>
    <w:rsid w:val="0068091C"/>
    <w:rsid w:val="00680A42"/>
    <w:rsid w:val="00680CB9"/>
    <w:rsid w:val="00680D79"/>
    <w:rsid w:val="00680F10"/>
    <w:rsid w:val="006815AF"/>
    <w:rsid w:val="00681946"/>
    <w:rsid w:val="00681D99"/>
    <w:rsid w:val="0068217F"/>
    <w:rsid w:val="00683214"/>
    <w:rsid w:val="00683381"/>
    <w:rsid w:val="00683593"/>
    <w:rsid w:val="00683653"/>
    <w:rsid w:val="0068365C"/>
    <w:rsid w:val="0068417C"/>
    <w:rsid w:val="006846B0"/>
    <w:rsid w:val="00684D81"/>
    <w:rsid w:val="00684D82"/>
    <w:rsid w:val="00684DB8"/>
    <w:rsid w:val="00684E35"/>
    <w:rsid w:val="00685B17"/>
    <w:rsid w:val="00685F96"/>
    <w:rsid w:val="006861BA"/>
    <w:rsid w:val="0068695F"/>
    <w:rsid w:val="006869F1"/>
    <w:rsid w:val="00686ABA"/>
    <w:rsid w:val="00686BA8"/>
    <w:rsid w:val="00686E0B"/>
    <w:rsid w:val="00686ECB"/>
    <w:rsid w:val="0068742A"/>
    <w:rsid w:val="006874CD"/>
    <w:rsid w:val="006875A4"/>
    <w:rsid w:val="00687606"/>
    <w:rsid w:val="006878AD"/>
    <w:rsid w:val="006879DB"/>
    <w:rsid w:val="00687AA0"/>
    <w:rsid w:val="00687B3B"/>
    <w:rsid w:val="00687B68"/>
    <w:rsid w:val="00690299"/>
    <w:rsid w:val="00690508"/>
    <w:rsid w:val="00690A22"/>
    <w:rsid w:val="00690A81"/>
    <w:rsid w:val="00690BD3"/>
    <w:rsid w:val="00690D1C"/>
    <w:rsid w:val="00690F21"/>
    <w:rsid w:val="00691639"/>
    <w:rsid w:val="00691792"/>
    <w:rsid w:val="0069185F"/>
    <w:rsid w:val="00691F41"/>
    <w:rsid w:val="006922C4"/>
    <w:rsid w:val="006926DF"/>
    <w:rsid w:val="00692AF0"/>
    <w:rsid w:val="00692B79"/>
    <w:rsid w:val="00692E14"/>
    <w:rsid w:val="00692E4C"/>
    <w:rsid w:val="00693084"/>
    <w:rsid w:val="0069312F"/>
    <w:rsid w:val="00693B96"/>
    <w:rsid w:val="0069427C"/>
    <w:rsid w:val="00694524"/>
    <w:rsid w:val="006946ED"/>
    <w:rsid w:val="006946FF"/>
    <w:rsid w:val="0069477B"/>
    <w:rsid w:val="00694D38"/>
    <w:rsid w:val="00694F2A"/>
    <w:rsid w:val="006960EE"/>
    <w:rsid w:val="00696835"/>
    <w:rsid w:val="00696BB4"/>
    <w:rsid w:val="00696F68"/>
    <w:rsid w:val="006970C0"/>
    <w:rsid w:val="00697267"/>
    <w:rsid w:val="00697812"/>
    <w:rsid w:val="00697B74"/>
    <w:rsid w:val="00697BEE"/>
    <w:rsid w:val="00697ED2"/>
    <w:rsid w:val="00697F6C"/>
    <w:rsid w:val="006A020B"/>
    <w:rsid w:val="006A08D0"/>
    <w:rsid w:val="006A09CE"/>
    <w:rsid w:val="006A0A9E"/>
    <w:rsid w:val="006A0BB2"/>
    <w:rsid w:val="006A0E4B"/>
    <w:rsid w:val="006A0EBE"/>
    <w:rsid w:val="006A15ED"/>
    <w:rsid w:val="006A1C43"/>
    <w:rsid w:val="006A1C57"/>
    <w:rsid w:val="006A1ED2"/>
    <w:rsid w:val="006A20FD"/>
    <w:rsid w:val="006A2413"/>
    <w:rsid w:val="006A2BAE"/>
    <w:rsid w:val="006A2E30"/>
    <w:rsid w:val="006A399F"/>
    <w:rsid w:val="006A3A17"/>
    <w:rsid w:val="006A3C3C"/>
    <w:rsid w:val="006A42BD"/>
    <w:rsid w:val="006A4466"/>
    <w:rsid w:val="006A480A"/>
    <w:rsid w:val="006A4AA1"/>
    <w:rsid w:val="006A4C3B"/>
    <w:rsid w:val="006A4D01"/>
    <w:rsid w:val="006A592F"/>
    <w:rsid w:val="006A5CAE"/>
    <w:rsid w:val="006A5D41"/>
    <w:rsid w:val="006A5D81"/>
    <w:rsid w:val="006A5D85"/>
    <w:rsid w:val="006A637B"/>
    <w:rsid w:val="006A6BE5"/>
    <w:rsid w:val="006A6D58"/>
    <w:rsid w:val="006A6E2F"/>
    <w:rsid w:val="006A73C4"/>
    <w:rsid w:val="006A7653"/>
    <w:rsid w:val="006A77FC"/>
    <w:rsid w:val="006A79C6"/>
    <w:rsid w:val="006A7B07"/>
    <w:rsid w:val="006A7B9E"/>
    <w:rsid w:val="006A7DD6"/>
    <w:rsid w:val="006B0016"/>
    <w:rsid w:val="006B00BE"/>
    <w:rsid w:val="006B07BC"/>
    <w:rsid w:val="006B07D8"/>
    <w:rsid w:val="006B081E"/>
    <w:rsid w:val="006B0AE4"/>
    <w:rsid w:val="006B0E26"/>
    <w:rsid w:val="006B120E"/>
    <w:rsid w:val="006B148A"/>
    <w:rsid w:val="006B14AF"/>
    <w:rsid w:val="006B14F9"/>
    <w:rsid w:val="006B1592"/>
    <w:rsid w:val="006B1A55"/>
    <w:rsid w:val="006B1ED1"/>
    <w:rsid w:val="006B22E9"/>
    <w:rsid w:val="006B22F2"/>
    <w:rsid w:val="006B232E"/>
    <w:rsid w:val="006B2728"/>
    <w:rsid w:val="006B2D49"/>
    <w:rsid w:val="006B2F53"/>
    <w:rsid w:val="006B3098"/>
    <w:rsid w:val="006B31AB"/>
    <w:rsid w:val="006B330B"/>
    <w:rsid w:val="006B3465"/>
    <w:rsid w:val="006B38BC"/>
    <w:rsid w:val="006B3B34"/>
    <w:rsid w:val="006B3BD5"/>
    <w:rsid w:val="006B3DFB"/>
    <w:rsid w:val="006B3E20"/>
    <w:rsid w:val="006B3FCF"/>
    <w:rsid w:val="006B40F2"/>
    <w:rsid w:val="006B4169"/>
    <w:rsid w:val="006B4208"/>
    <w:rsid w:val="006B453D"/>
    <w:rsid w:val="006B4A72"/>
    <w:rsid w:val="006B4AAF"/>
    <w:rsid w:val="006B4B14"/>
    <w:rsid w:val="006B4B88"/>
    <w:rsid w:val="006B4CE4"/>
    <w:rsid w:val="006B5019"/>
    <w:rsid w:val="006B5A29"/>
    <w:rsid w:val="006B5B6F"/>
    <w:rsid w:val="006B5DF2"/>
    <w:rsid w:val="006B621F"/>
    <w:rsid w:val="006B6253"/>
    <w:rsid w:val="006B6563"/>
    <w:rsid w:val="006B6954"/>
    <w:rsid w:val="006B6994"/>
    <w:rsid w:val="006B6C0C"/>
    <w:rsid w:val="006B6C49"/>
    <w:rsid w:val="006B6E00"/>
    <w:rsid w:val="006B71E5"/>
    <w:rsid w:val="006B755F"/>
    <w:rsid w:val="006B7749"/>
    <w:rsid w:val="006B7D7E"/>
    <w:rsid w:val="006C06A5"/>
    <w:rsid w:val="006C0C06"/>
    <w:rsid w:val="006C1850"/>
    <w:rsid w:val="006C1BC4"/>
    <w:rsid w:val="006C24C7"/>
    <w:rsid w:val="006C255C"/>
    <w:rsid w:val="006C2588"/>
    <w:rsid w:val="006C25A3"/>
    <w:rsid w:val="006C2688"/>
    <w:rsid w:val="006C2784"/>
    <w:rsid w:val="006C2CC0"/>
    <w:rsid w:val="006C2D5B"/>
    <w:rsid w:val="006C2E7A"/>
    <w:rsid w:val="006C3351"/>
    <w:rsid w:val="006C439A"/>
    <w:rsid w:val="006C4858"/>
    <w:rsid w:val="006C4B7A"/>
    <w:rsid w:val="006C50DC"/>
    <w:rsid w:val="006C519A"/>
    <w:rsid w:val="006C534B"/>
    <w:rsid w:val="006C5472"/>
    <w:rsid w:val="006C54E7"/>
    <w:rsid w:val="006C562D"/>
    <w:rsid w:val="006C57DF"/>
    <w:rsid w:val="006C5D75"/>
    <w:rsid w:val="006C69EB"/>
    <w:rsid w:val="006C6AA8"/>
    <w:rsid w:val="006C6C77"/>
    <w:rsid w:val="006C6E51"/>
    <w:rsid w:val="006C6F7A"/>
    <w:rsid w:val="006C7059"/>
    <w:rsid w:val="006C75A5"/>
    <w:rsid w:val="006C75CC"/>
    <w:rsid w:val="006C7A66"/>
    <w:rsid w:val="006D004E"/>
    <w:rsid w:val="006D037B"/>
    <w:rsid w:val="006D0488"/>
    <w:rsid w:val="006D08B3"/>
    <w:rsid w:val="006D08E8"/>
    <w:rsid w:val="006D09DC"/>
    <w:rsid w:val="006D0B32"/>
    <w:rsid w:val="006D11E9"/>
    <w:rsid w:val="006D12E3"/>
    <w:rsid w:val="006D1AFF"/>
    <w:rsid w:val="006D1B6E"/>
    <w:rsid w:val="006D1BA9"/>
    <w:rsid w:val="006D1BC3"/>
    <w:rsid w:val="006D1F4D"/>
    <w:rsid w:val="006D22C3"/>
    <w:rsid w:val="006D232B"/>
    <w:rsid w:val="006D238A"/>
    <w:rsid w:val="006D2834"/>
    <w:rsid w:val="006D2EF5"/>
    <w:rsid w:val="006D30DB"/>
    <w:rsid w:val="006D3887"/>
    <w:rsid w:val="006D39AD"/>
    <w:rsid w:val="006D3E0C"/>
    <w:rsid w:val="006D3ED8"/>
    <w:rsid w:val="006D4038"/>
    <w:rsid w:val="006D430D"/>
    <w:rsid w:val="006D44D2"/>
    <w:rsid w:val="006D4535"/>
    <w:rsid w:val="006D470C"/>
    <w:rsid w:val="006D481C"/>
    <w:rsid w:val="006D4958"/>
    <w:rsid w:val="006D4F89"/>
    <w:rsid w:val="006D50F9"/>
    <w:rsid w:val="006D56D0"/>
    <w:rsid w:val="006D583B"/>
    <w:rsid w:val="006D618D"/>
    <w:rsid w:val="006D62C1"/>
    <w:rsid w:val="006D6449"/>
    <w:rsid w:val="006D6744"/>
    <w:rsid w:val="006D6857"/>
    <w:rsid w:val="006D6884"/>
    <w:rsid w:val="006D6914"/>
    <w:rsid w:val="006D6DCF"/>
    <w:rsid w:val="006D7093"/>
    <w:rsid w:val="006D71ED"/>
    <w:rsid w:val="006D7243"/>
    <w:rsid w:val="006D7BFF"/>
    <w:rsid w:val="006D7D7B"/>
    <w:rsid w:val="006D7FBD"/>
    <w:rsid w:val="006E00BA"/>
    <w:rsid w:val="006E02C5"/>
    <w:rsid w:val="006E0409"/>
    <w:rsid w:val="006E0554"/>
    <w:rsid w:val="006E088C"/>
    <w:rsid w:val="006E0C39"/>
    <w:rsid w:val="006E159D"/>
    <w:rsid w:val="006E164E"/>
    <w:rsid w:val="006E166D"/>
    <w:rsid w:val="006E1799"/>
    <w:rsid w:val="006E1955"/>
    <w:rsid w:val="006E1E24"/>
    <w:rsid w:val="006E1E85"/>
    <w:rsid w:val="006E1F81"/>
    <w:rsid w:val="006E2355"/>
    <w:rsid w:val="006E2449"/>
    <w:rsid w:val="006E24EE"/>
    <w:rsid w:val="006E273D"/>
    <w:rsid w:val="006E27D7"/>
    <w:rsid w:val="006E28CB"/>
    <w:rsid w:val="006E29A1"/>
    <w:rsid w:val="006E29B4"/>
    <w:rsid w:val="006E2B0B"/>
    <w:rsid w:val="006E2B34"/>
    <w:rsid w:val="006E326A"/>
    <w:rsid w:val="006E365E"/>
    <w:rsid w:val="006E3783"/>
    <w:rsid w:val="006E38B7"/>
    <w:rsid w:val="006E3BC8"/>
    <w:rsid w:val="006E3D98"/>
    <w:rsid w:val="006E3FBC"/>
    <w:rsid w:val="006E3FE2"/>
    <w:rsid w:val="006E424A"/>
    <w:rsid w:val="006E42AB"/>
    <w:rsid w:val="006E44A5"/>
    <w:rsid w:val="006E48F6"/>
    <w:rsid w:val="006E4B40"/>
    <w:rsid w:val="006E4E9D"/>
    <w:rsid w:val="006E51DD"/>
    <w:rsid w:val="006E5332"/>
    <w:rsid w:val="006E53EF"/>
    <w:rsid w:val="006E5518"/>
    <w:rsid w:val="006E5DD4"/>
    <w:rsid w:val="006E5EDB"/>
    <w:rsid w:val="006E605B"/>
    <w:rsid w:val="006E6666"/>
    <w:rsid w:val="006E6DA8"/>
    <w:rsid w:val="006E7680"/>
    <w:rsid w:val="006E7936"/>
    <w:rsid w:val="006E7BF0"/>
    <w:rsid w:val="006E7FDA"/>
    <w:rsid w:val="006F00A6"/>
    <w:rsid w:val="006F0401"/>
    <w:rsid w:val="006F06B4"/>
    <w:rsid w:val="006F0852"/>
    <w:rsid w:val="006F0AB9"/>
    <w:rsid w:val="006F0ADB"/>
    <w:rsid w:val="006F0E87"/>
    <w:rsid w:val="006F112F"/>
    <w:rsid w:val="006F129E"/>
    <w:rsid w:val="006F12B5"/>
    <w:rsid w:val="006F13C8"/>
    <w:rsid w:val="006F1BD2"/>
    <w:rsid w:val="006F27BD"/>
    <w:rsid w:val="006F27C1"/>
    <w:rsid w:val="006F28BA"/>
    <w:rsid w:val="006F30C6"/>
    <w:rsid w:val="006F34D0"/>
    <w:rsid w:val="006F36C5"/>
    <w:rsid w:val="006F3905"/>
    <w:rsid w:val="006F39D5"/>
    <w:rsid w:val="006F3A55"/>
    <w:rsid w:val="006F3ADB"/>
    <w:rsid w:val="006F3C44"/>
    <w:rsid w:val="006F3D6A"/>
    <w:rsid w:val="006F44FB"/>
    <w:rsid w:val="006F475D"/>
    <w:rsid w:val="006F4B36"/>
    <w:rsid w:val="006F4BD2"/>
    <w:rsid w:val="006F4F48"/>
    <w:rsid w:val="006F512D"/>
    <w:rsid w:val="006F5249"/>
    <w:rsid w:val="006F537B"/>
    <w:rsid w:val="006F593B"/>
    <w:rsid w:val="006F5CF8"/>
    <w:rsid w:val="006F5DA5"/>
    <w:rsid w:val="006F5F4D"/>
    <w:rsid w:val="006F64CB"/>
    <w:rsid w:val="006F6B25"/>
    <w:rsid w:val="006F6B94"/>
    <w:rsid w:val="006F714B"/>
    <w:rsid w:val="006F732E"/>
    <w:rsid w:val="006F7330"/>
    <w:rsid w:val="006F7470"/>
    <w:rsid w:val="006F7729"/>
    <w:rsid w:val="006F78EF"/>
    <w:rsid w:val="006F7A54"/>
    <w:rsid w:val="006F7A95"/>
    <w:rsid w:val="0070005B"/>
    <w:rsid w:val="00700168"/>
    <w:rsid w:val="00700756"/>
    <w:rsid w:val="00700761"/>
    <w:rsid w:val="00700E18"/>
    <w:rsid w:val="00701133"/>
    <w:rsid w:val="00701E73"/>
    <w:rsid w:val="007026E7"/>
    <w:rsid w:val="00702C33"/>
    <w:rsid w:val="00702D84"/>
    <w:rsid w:val="00702F1D"/>
    <w:rsid w:val="007030C8"/>
    <w:rsid w:val="0070328A"/>
    <w:rsid w:val="0070349D"/>
    <w:rsid w:val="00703645"/>
    <w:rsid w:val="007037DF"/>
    <w:rsid w:val="00703BD4"/>
    <w:rsid w:val="00704563"/>
    <w:rsid w:val="00704D4D"/>
    <w:rsid w:val="00705167"/>
    <w:rsid w:val="007053E4"/>
    <w:rsid w:val="007058B1"/>
    <w:rsid w:val="00705927"/>
    <w:rsid w:val="00705B1B"/>
    <w:rsid w:val="00705B1C"/>
    <w:rsid w:val="00706030"/>
    <w:rsid w:val="00706321"/>
    <w:rsid w:val="00706827"/>
    <w:rsid w:val="00706930"/>
    <w:rsid w:val="00706C0C"/>
    <w:rsid w:val="00706C2F"/>
    <w:rsid w:val="00706D2F"/>
    <w:rsid w:val="00706DBF"/>
    <w:rsid w:val="007073B4"/>
    <w:rsid w:val="007076AA"/>
    <w:rsid w:val="007079D0"/>
    <w:rsid w:val="00707B10"/>
    <w:rsid w:val="00707C8A"/>
    <w:rsid w:val="00707CC9"/>
    <w:rsid w:val="00710050"/>
    <w:rsid w:val="007101A3"/>
    <w:rsid w:val="0071022C"/>
    <w:rsid w:val="00710304"/>
    <w:rsid w:val="00710843"/>
    <w:rsid w:val="00711125"/>
    <w:rsid w:val="00711465"/>
    <w:rsid w:val="007116BD"/>
    <w:rsid w:val="00711E0B"/>
    <w:rsid w:val="00711F24"/>
    <w:rsid w:val="00712347"/>
    <w:rsid w:val="007124A5"/>
    <w:rsid w:val="007124C3"/>
    <w:rsid w:val="007124F5"/>
    <w:rsid w:val="0071290D"/>
    <w:rsid w:val="007129FB"/>
    <w:rsid w:val="00712E7E"/>
    <w:rsid w:val="0071358E"/>
    <w:rsid w:val="0071361C"/>
    <w:rsid w:val="00713B52"/>
    <w:rsid w:val="00713CC9"/>
    <w:rsid w:val="00713E15"/>
    <w:rsid w:val="00713F25"/>
    <w:rsid w:val="00714B71"/>
    <w:rsid w:val="00714C81"/>
    <w:rsid w:val="00715166"/>
    <w:rsid w:val="0071531A"/>
    <w:rsid w:val="00715BE5"/>
    <w:rsid w:val="00715C22"/>
    <w:rsid w:val="00715F1E"/>
    <w:rsid w:val="00715F99"/>
    <w:rsid w:val="00715FED"/>
    <w:rsid w:val="00716041"/>
    <w:rsid w:val="00716194"/>
    <w:rsid w:val="007162F0"/>
    <w:rsid w:val="00716327"/>
    <w:rsid w:val="00716558"/>
    <w:rsid w:val="007167F6"/>
    <w:rsid w:val="00716AF5"/>
    <w:rsid w:val="00716D94"/>
    <w:rsid w:val="00716E2F"/>
    <w:rsid w:val="00716E99"/>
    <w:rsid w:val="007175C6"/>
    <w:rsid w:val="00717D2D"/>
    <w:rsid w:val="00717E32"/>
    <w:rsid w:val="007201FA"/>
    <w:rsid w:val="007204A8"/>
    <w:rsid w:val="00720DF7"/>
    <w:rsid w:val="0072111E"/>
    <w:rsid w:val="00721748"/>
    <w:rsid w:val="00721A11"/>
    <w:rsid w:val="007222B9"/>
    <w:rsid w:val="0072259C"/>
    <w:rsid w:val="00722640"/>
    <w:rsid w:val="0072269A"/>
    <w:rsid w:val="0072290D"/>
    <w:rsid w:val="00722BD1"/>
    <w:rsid w:val="00722E5E"/>
    <w:rsid w:val="00722FA3"/>
    <w:rsid w:val="00722FCA"/>
    <w:rsid w:val="0072342D"/>
    <w:rsid w:val="00723438"/>
    <w:rsid w:val="007235C3"/>
    <w:rsid w:val="00723D65"/>
    <w:rsid w:val="00724421"/>
    <w:rsid w:val="007246E6"/>
    <w:rsid w:val="00724A36"/>
    <w:rsid w:val="00724B13"/>
    <w:rsid w:val="00724B29"/>
    <w:rsid w:val="00724C7C"/>
    <w:rsid w:val="00726160"/>
    <w:rsid w:val="00726525"/>
    <w:rsid w:val="00726558"/>
    <w:rsid w:val="007265DE"/>
    <w:rsid w:val="007266D7"/>
    <w:rsid w:val="00726B24"/>
    <w:rsid w:val="00726C02"/>
    <w:rsid w:val="00727495"/>
    <w:rsid w:val="00727675"/>
    <w:rsid w:val="00727D5F"/>
    <w:rsid w:val="00727D6F"/>
    <w:rsid w:val="007301B0"/>
    <w:rsid w:val="007303E1"/>
    <w:rsid w:val="007305AD"/>
    <w:rsid w:val="00730632"/>
    <w:rsid w:val="00730883"/>
    <w:rsid w:val="00730972"/>
    <w:rsid w:val="00730D06"/>
    <w:rsid w:val="0073115B"/>
    <w:rsid w:val="00731656"/>
    <w:rsid w:val="00731DE3"/>
    <w:rsid w:val="00731EA3"/>
    <w:rsid w:val="007320C3"/>
    <w:rsid w:val="00732274"/>
    <w:rsid w:val="00732340"/>
    <w:rsid w:val="00732496"/>
    <w:rsid w:val="00732796"/>
    <w:rsid w:val="00732CEA"/>
    <w:rsid w:val="00732E7E"/>
    <w:rsid w:val="00733045"/>
    <w:rsid w:val="007332C4"/>
    <w:rsid w:val="0073331E"/>
    <w:rsid w:val="00733BDB"/>
    <w:rsid w:val="00733D26"/>
    <w:rsid w:val="00733E74"/>
    <w:rsid w:val="007344D8"/>
    <w:rsid w:val="00734539"/>
    <w:rsid w:val="007345EC"/>
    <w:rsid w:val="0073467C"/>
    <w:rsid w:val="00734687"/>
    <w:rsid w:val="007347B6"/>
    <w:rsid w:val="00734C67"/>
    <w:rsid w:val="00734F76"/>
    <w:rsid w:val="00734F89"/>
    <w:rsid w:val="00734FFE"/>
    <w:rsid w:val="007354EC"/>
    <w:rsid w:val="0073568C"/>
    <w:rsid w:val="00735A97"/>
    <w:rsid w:val="00735DE3"/>
    <w:rsid w:val="0073653B"/>
    <w:rsid w:val="007365E9"/>
    <w:rsid w:val="00736EDC"/>
    <w:rsid w:val="00737081"/>
    <w:rsid w:val="007375B3"/>
    <w:rsid w:val="00737B97"/>
    <w:rsid w:val="00737E8A"/>
    <w:rsid w:val="007402E2"/>
    <w:rsid w:val="007404A3"/>
    <w:rsid w:val="00740542"/>
    <w:rsid w:val="007407B9"/>
    <w:rsid w:val="0074094A"/>
    <w:rsid w:val="00740D8A"/>
    <w:rsid w:val="007418F8"/>
    <w:rsid w:val="00741C2E"/>
    <w:rsid w:val="00741DEB"/>
    <w:rsid w:val="007421AC"/>
    <w:rsid w:val="00742A96"/>
    <w:rsid w:val="00742B18"/>
    <w:rsid w:val="00742D8A"/>
    <w:rsid w:val="00742F45"/>
    <w:rsid w:val="00742F69"/>
    <w:rsid w:val="007434D2"/>
    <w:rsid w:val="007437AB"/>
    <w:rsid w:val="007437E7"/>
    <w:rsid w:val="00743A1F"/>
    <w:rsid w:val="00744268"/>
    <w:rsid w:val="007444BF"/>
    <w:rsid w:val="007457E4"/>
    <w:rsid w:val="00745C9F"/>
    <w:rsid w:val="00746182"/>
    <w:rsid w:val="00746AB9"/>
    <w:rsid w:val="00746D0F"/>
    <w:rsid w:val="00746D12"/>
    <w:rsid w:val="00746DA3"/>
    <w:rsid w:val="00746F79"/>
    <w:rsid w:val="00747601"/>
    <w:rsid w:val="00747A15"/>
    <w:rsid w:val="00747C19"/>
    <w:rsid w:val="007506FB"/>
    <w:rsid w:val="00750E7E"/>
    <w:rsid w:val="007512E1"/>
    <w:rsid w:val="00751CDC"/>
    <w:rsid w:val="00751ED0"/>
    <w:rsid w:val="007521AF"/>
    <w:rsid w:val="007523D8"/>
    <w:rsid w:val="007525D7"/>
    <w:rsid w:val="0075279D"/>
    <w:rsid w:val="00752FA9"/>
    <w:rsid w:val="00753740"/>
    <w:rsid w:val="007537A7"/>
    <w:rsid w:val="00753951"/>
    <w:rsid w:val="00753D9E"/>
    <w:rsid w:val="007545D6"/>
    <w:rsid w:val="00754982"/>
    <w:rsid w:val="00754B24"/>
    <w:rsid w:val="00754C45"/>
    <w:rsid w:val="00754F5F"/>
    <w:rsid w:val="007557CD"/>
    <w:rsid w:val="007559A6"/>
    <w:rsid w:val="00755B39"/>
    <w:rsid w:val="00755BA7"/>
    <w:rsid w:val="00755C09"/>
    <w:rsid w:val="00755DE8"/>
    <w:rsid w:val="00755E15"/>
    <w:rsid w:val="0075618D"/>
    <w:rsid w:val="00756459"/>
    <w:rsid w:val="0075659A"/>
    <w:rsid w:val="00756719"/>
    <w:rsid w:val="00756740"/>
    <w:rsid w:val="00756AB6"/>
    <w:rsid w:val="00756D3B"/>
    <w:rsid w:val="00756D68"/>
    <w:rsid w:val="0075763E"/>
    <w:rsid w:val="00757751"/>
    <w:rsid w:val="00757ACF"/>
    <w:rsid w:val="00757DB9"/>
    <w:rsid w:val="00760041"/>
    <w:rsid w:val="007601AE"/>
    <w:rsid w:val="00760294"/>
    <w:rsid w:val="007606B2"/>
    <w:rsid w:val="007608BB"/>
    <w:rsid w:val="00760AA5"/>
    <w:rsid w:val="00760DA2"/>
    <w:rsid w:val="007611CC"/>
    <w:rsid w:val="0076126D"/>
    <w:rsid w:val="007615C1"/>
    <w:rsid w:val="00761740"/>
    <w:rsid w:val="00761809"/>
    <w:rsid w:val="00761B2C"/>
    <w:rsid w:val="00762185"/>
    <w:rsid w:val="00762961"/>
    <w:rsid w:val="00762D3A"/>
    <w:rsid w:val="007631B2"/>
    <w:rsid w:val="00763406"/>
    <w:rsid w:val="00763552"/>
    <w:rsid w:val="00763694"/>
    <w:rsid w:val="007636D9"/>
    <w:rsid w:val="0076399E"/>
    <w:rsid w:val="00763AA1"/>
    <w:rsid w:val="00763AE8"/>
    <w:rsid w:val="007640C4"/>
    <w:rsid w:val="00764365"/>
    <w:rsid w:val="00764840"/>
    <w:rsid w:val="00765802"/>
    <w:rsid w:val="007658BB"/>
    <w:rsid w:val="00765D7E"/>
    <w:rsid w:val="00766310"/>
    <w:rsid w:val="00766A7B"/>
    <w:rsid w:val="00766C88"/>
    <w:rsid w:val="00766CE8"/>
    <w:rsid w:val="00766D7E"/>
    <w:rsid w:val="00767208"/>
    <w:rsid w:val="0076724A"/>
    <w:rsid w:val="0076737A"/>
    <w:rsid w:val="007674D7"/>
    <w:rsid w:val="00767977"/>
    <w:rsid w:val="00767CD7"/>
    <w:rsid w:val="00767DDF"/>
    <w:rsid w:val="007707CE"/>
    <w:rsid w:val="0077136B"/>
    <w:rsid w:val="007718E2"/>
    <w:rsid w:val="00771DDA"/>
    <w:rsid w:val="007722FA"/>
    <w:rsid w:val="007727FC"/>
    <w:rsid w:val="0077281B"/>
    <w:rsid w:val="007729E3"/>
    <w:rsid w:val="00772FBE"/>
    <w:rsid w:val="007730DC"/>
    <w:rsid w:val="00773685"/>
    <w:rsid w:val="0077384A"/>
    <w:rsid w:val="0077386C"/>
    <w:rsid w:val="00773BEA"/>
    <w:rsid w:val="00773C4B"/>
    <w:rsid w:val="00773E28"/>
    <w:rsid w:val="0077466A"/>
    <w:rsid w:val="00774AC6"/>
    <w:rsid w:val="00774BFE"/>
    <w:rsid w:val="00774C30"/>
    <w:rsid w:val="00774E5F"/>
    <w:rsid w:val="00774EEC"/>
    <w:rsid w:val="00774F17"/>
    <w:rsid w:val="00774F61"/>
    <w:rsid w:val="00775098"/>
    <w:rsid w:val="007750E2"/>
    <w:rsid w:val="0077539B"/>
    <w:rsid w:val="0077543E"/>
    <w:rsid w:val="00775C1E"/>
    <w:rsid w:val="00775E63"/>
    <w:rsid w:val="007760B5"/>
    <w:rsid w:val="007765D7"/>
    <w:rsid w:val="00776698"/>
    <w:rsid w:val="00776728"/>
    <w:rsid w:val="007768F4"/>
    <w:rsid w:val="00776D55"/>
    <w:rsid w:val="0077706F"/>
    <w:rsid w:val="0077720C"/>
    <w:rsid w:val="0077733A"/>
    <w:rsid w:val="00777A04"/>
    <w:rsid w:val="00780183"/>
    <w:rsid w:val="007803E7"/>
    <w:rsid w:val="0078065A"/>
    <w:rsid w:val="00780849"/>
    <w:rsid w:val="007809D4"/>
    <w:rsid w:val="00780AEF"/>
    <w:rsid w:val="00780D89"/>
    <w:rsid w:val="00780FBE"/>
    <w:rsid w:val="00780FF7"/>
    <w:rsid w:val="007811F1"/>
    <w:rsid w:val="0078190D"/>
    <w:rsid w:val="00781DA7"/>
    <w:rsid w:val="00781F67"/>
    <w:rsid w:val="00782011"/>
    <w:rsid w:val="00782366"/>
    <w:rsid w:val="00782413"/>
    <w:rsid w:val="00782536"/>
    <w:rsid w:val="0078271E"/>
    <w:rsid w:val="00782ACF"/>
    <w:rsid w:val="00782B54"/>
    <w:rsid w:val="00782EA6"/>
    <w:rsid w:val="00783538"/>
    <w:rsid w:val="0078364D"/>
    <w:rsid w:val="00783796"/>
    <w:rsid w:val="00783836"/>
    <w:rsid w:val="00783F7F"/>
    <w:rsid w:val="0078405C"/>
    <w:rsid w:val="007842CB"/>
    <w:rsid w:val="007845C2"/>
    <w:rsid w:val="00784688"/>
    <w:rsid w:val="00784716"/>
    <w:rsid w:val="0078478C"/>
    <w:rsid w:val="00784980"/>
    <w:rsid w:val="00785AD9"/>
    <w:rsid w:val="00785E01"/>
    <w:rsid w:val="00786052"/>
    <w:rsid w:val="00786291"/>
    <w:rsid w:val="00786400"/>
    <w:rsid w:val="00786420"/>
    <w:rsid w:val="007864D8"/>
    <w:rsid w:val="00786C90"/>
    <w:rsid w:val="00787033"/>
    <w:rsid w:val="007872AC"/>
    <w:rsid w:val="007872CF"/>
    <w:rsid w:val="00787753"/>
    <w:rsid w:val="00787953"/>
    <w:rsid w:val="00787C65"/>
    <w:rsid w:val="00787C77"/>
    <w:rsid w:val="00787CA7"/>
    <w:rsid w:val="00787CAA"/>
    <w:rsid w:val="00787EC0"/>
    <w:rsid w:val="007900C2"/>
    <w:rsid w:val="0079094F"/>
    <w:rsid w:val="00790A5A"/>
    <w:rsid w:val="00790B31"/>
    <w:rsid w:val="00791150"/>
    <w:rsid w:val="00791254"/>
    <w:rsid w:val="00791510"/>
    <w:rsid w:val="00791533"/>
    <w:rsid w:val="007917E4"/>
    <w:rsid w:val="00791C45"/>
    <w:rsid w:val="00791D4C"/>
    <w:rsid w:val="0079240A"/>
    <w:rsid w:val="00792677"/>
    <w:rsid w:val="00792DDA"/>
    <w:rsid w:val="00793483"/>
    <w:rsid w:val="00793A3E"/>
    <w:rsid w:val="00793B8C"/>
    <w:rsid w:val="00793D8A"/>
    <w:rsid w:val="00793F20"/>
    <w:rsid w:val="00793F9A"/>
    <w:rsid w:val="00794020"/>
    <w:rsid w:val="007941B6"/>
    <w:rsid w:val="007941B9"/>
    <w:rsid w:val="007949BD"/>
    <w:rsid w:val="00794CE0"/>
    <w:rsid w:val="00794CE6"/>
    <w:rsid w:val="00794E23"/>
    <w:rsid w:val="00795B27"/>
    <w:rsid w:val="0079601D"/>
    <w:rsid w:val="0079669C"/>
    <w:rsid w:val="00796785"/>
    <w:rsid w:val="007969E0"/>
    <w:rsid w:val="00796C21"/>
    <w:rsid w:val="00797093"/>
    <w:rsid w:val="007971D9"/>
    <w:rsid w:val="00797595"/>
    <w:rsid w:val="00797761"/>
    <w:rsid w:val="00797EAA"/>
    <w:rsid w:val="007A0193"/>
    <w:rsid w:val="007A02D5"/>
    <w:rsid w:val="007A0341"/>
    <w:rsid w:val="007A107A"/>
    <w:rsid w:val="007A1690"/>
    <w:rsid w:val="007A182C"/>
    <w:rsid w:val="007A227E"/>
    <w:rsid w:val="007A233A"/>
    <w:rsid w:val="007A23B7"/>
    <w:rsid w:val="007A28A4"/>
    <w:rsid w:val="007A2F98"/>
    <w:rsid w:val="007A30C1"/>
    <w:rsid w:val="007A316E"/>
    <w:rsid w:val="007A34DB"/>
    <w:rsid w:val="007A393D"/>
    <w:rsid w:val="007A3C1A"/>
    <w:rsid w:val="007A3CEB"/>
    <w:rsid w:val="007A3F86"/>
    <w:rsid w:val="007A43BB"/>
    <w:rsid w:val="007A4447"/>
    <w:rsid w:val="007A4C3C"/>
    <w:rsid w:val="007A4C73"/>
    <w:rsid w:val="007A4CF7"/>
    <w:rsid w:val="007A4D51"/>
    <w:rsid w:val="007A4E79"/>
    <w:rsid w:val="007A4EBB"/>
    <w:rsid w:val="007A54C0"/>
    <w:rsid w:val="007A5CEC"/>
    <w:rsid w:val="007A636F"/>
    <w:rsid w:val="007A6C62"/>
    <w:rsid w:val="007A6D38"/>
    <w:rsid w:val="007A6E51"/>
    <w:rsid w:val="007A7401"/>
    <w:rsid w:val="007A7478"/>
    <w:rsid w:val="007A7642"/>
    <w:rsid w:val="007A771D"/>
    <w:rsid w:val="007A772B"/>
    <w:rsid w:val="007A7732"/>
    <w:rsid w:val="007A7832"/>
    <w:rsid w:val="007B0359"/>
    <w:rsid w:val="007B068C"/>
    <w:rsid w:val="007B0BB0"/>
    <w:rsid w:val="007B1097"/>
    <w:rsid w:val="007B14FB"/>
    <w:rsid w:val="007B1654"/>
    <w:rsid w:val="007B1C59"/>
    <w:rsid w:val="007B2538"/>
    <w:rsid w:val="007B2AE1"/>
    <w:rsid w:val="007B2E7B"/>
    <w:rsid w:val="007B3781"/>
    <w:rsid w:val="007B3B03"/>
    <w:rsid w:val="007B3C79"/>
    <w:rsid w:val="007B3CC7"/>
    <w:rsid w:val="007B3D7F"/>
    <w:rsid w:val="007B4006"/>
    <w:rsid w:val="007B4498"/>
    <w:rsid w:val="007B45C7"/>
    <w:rsid w:val="007B4904"/>
    <w:rsid w:val="007B4908"/>
    <w:rsid w:val="007B4BDE"/>
    <w:rsid w:val="007B4C33"/>
    <w:rsid w:val="007B4E0D"/>
    <w:rsid w:val="007B53E2"/>
    <w:rsid w:val="007B578A"/>
    <w:rsid w:val="007B5EB1"/>
    <w:rsid w:val="007B6093"/>
    <w:rsid w:val="007B6094"/>
    <w:rsid w:val="007B642E"/>
    <w:rsid w:val="007B646B"/>
    <w:rsid w:val="007B6A25"/>
    <w:rsid w:val="007B7026"/>
    <w:rsid w:val="007B740E"/>
    <w:rsid w:val="007B74AD"/>
    <w:rsid w:val="007B7A25"/>
    <w:rsid w:val="007B7B28"/>
    <w:rsid w:val="007B7C03"/>
    <w:rsid w:val="007B7E15"/>
    <w:rsid w:val="007C01F2"/>
    <w:rsid w:val="007C0C5A"/>
    <w:rsid w:val="007C0F05"/>
    <w:rsid w:val="007C138A"/>
    <w:rsid w:val="007C1412"/>
    <w:rsid w:val="007C1833"/>
    <w:rsid w:val="007C1C2F"/>
    <w:rsid w:val="007C2042"/>
    <w:rsid w:val="007C23FD"/>
    <w:rsid w:val="007C249B"/>
    <w:rsid w:val="007C2F7A"/>
    <w:rsid w:val="007C3388"/>
    <w:rsid w:val="007C3C08"/>
    <w:rsid w:val="007C3C58"/>
    <w:rsid w:val="007C3D37"/>
    <w:rsid w:val="007C422D"/>
    <w:rsid w:val="007C4290"/>
    <w:rsid w:val="007C43B3"/>
    <w:rsid w:val="007C4541"/>
    <w:rsid w:val="007C45FC"/>
    <w:rsid w:val="007C47E8"/>
    <w:rsid w:val="007C4A78"/>
    <w:rsid w:val="007C4B9C"/>
    <w:rsid w:val="007C4C48"/>
    <w:rsid w:val="007C4D1B"/>
    <w:rsid w:val="007C4DFD"/>
    <w:rsid w:val="007C5183"/>
    <w:rsid w:val="007C5514"/>
    <w:rsid w:val="007C55E8"/>
    <w:rsid w:val="007C562F"/>
    <w:rsid w:val="007C5690"/>
    <w:rsid w:val="007C6532"/>
    <w:rsid w:val="007C6E6D"/>
    <w:rsid w:val="007C7196"/>
    <w:rsid w:val="007C721A"/>
    <w:rsid w:val="007C74BB"/>
    <w:rsid w:val="007C77ED"/>
    <w:rsid w:val="007C7953"/>
    <w:rsid w:val="007C7A79"/>
    <w:rsid w:val="007D02B8"/>
    <w:rsid w:val="007D0391"/>
    <w:rsid w:val="007D083B"/>
    <w:rsid w:val="007D0864"/>
    <w:rsid w:val="007D0A4C"/>
    <w:rsid w:val="007D0B65"/>
    <w:rsid w:val="007D0E1D"/>
    <w:rsid w:val="007D0E8C"/>
    <w:rsid w:val="007D1152"/>
    <w:rsid w:val="007D13D1"/>
    <w:rsid w:val="007D14A3"/>
    <w:rsid w:val="007D1610"/>
    <w:rsid w:val="007D1734"/>
    <w:rsid w:val="007D1A0C"/>
    <w:rsid w:val="007D2239"/>
    <w:rsid w:val="007D2516"/>
    <w:rsid w:val="007D2633"/>
    <w:rsid w:val="007D2751"/>
    <w:rsid w:val="007D2761"/>
    <w:rsid w:val="007D3201"/>
    <w:rsid w:val="007D354E"/>
    <w:rsid w:val="007D35D5"/>
    <w:rsid w:val="007D35FA"/>
    <w:rsid w:val="007D377E"/>
    <w:rsid w:val="007D37C4"/>
    <w:rsid w:val="007D3842"/>
    <w:rsid w:val="007D3892"/>
    <w:rsid w:val="007D396F"/>
    <w:rsid w:val="007D3DDE"/>
    <w:rsid w:val="007D3E2D"/>
    <w:rsid w:val="007D4145"/>
    <w:rsid w:val="007D4917"/>
    <w:rsid w:val="007D4C30"/>
    <w:rsid w:val="007D4C7A"/>
    <w:rsid w:val="007D4CA3"/>
    <w:rsid w:val="007D4EB4"/>
    <w:rsid w:val="007D4FD2"/>
    <w:rsid w:val="007D513D"/>
    <w:rsid w:val="007D55E0"/>
    <w:rsid w:val="007D55E3"/>
    <w:rsid w:val="007D56DD"/>
    <w:rsid w:val="007D59DF"/>
    <w:rsid w:val="007D640B"/>
    <w:rsid w:val="007D673A"/>
    <w:rsid w:val="007D69CA"/>
    <w:rsid w:val="007D6EF8"/>
    <w:rsid w:val="007D6F40"/>
    <w:rsid w:val="007D7318"/>
    <w:rsid w:val="007D757C"/>
    <w:rsid w:val="007D774B"/>
    <w:rsid w:val="007D7A51"/>
    <w:rsid w:val="007E0786"/>
    <w:rsid w:val="007E0BE9"/>
    <w:rsid w:val="007E0E9D"/>
    <w:rsid w:val="007E0EC2"/>
    <w:rsid w:val="007E11DD"/>
    <w:rsid w:val="007E13AD"/>
    <w:rsid w:val="007E1618"/>
    <w:rsid w:val="007E16C1"/>
    <w:rsid w:val="007E1854"/>
    <w:rsid w:val="007E1BA9"/>
    <w:rsid w:val="007E1BD8"/>
    <w:rsid w:val="007E1DBE"/>
    <w:rsid w:val="007E24F7"/>
    <w:rsid w:val="007E2998"/>
    <w:rsid w:val="007E2A91"/>
    <w:rsid w:val="007E2C3C"/>
    <w:rsid w:val="007E312D"/>
    <w:rsid w:val="007E33B2"/>
    <w:rsid w:val="007E33EF"/>
    <w:rsid w:val="007E33F4"/>
    <w:rsid w:val="007E3682"/>
    <w:rsid w:val="007E36F1"/>
    <w:rsid w:val="007E3EE8"/>
    <w:rsid w:val="007E4181"/>
    <w:rsid w:val="007E4364"/>
    <w:rsid w:val="007E4516"/>
    <w:rsid w:val="007E496B"/>
    <w:rsid w:val="007E4B41"/>
    <w:rsid w:val="007E4B55"/>
    <w:rsid w:val="007E4C8C"/>
    <w:rsid w:val="007E4F2A"/>
    <w:rsid w:val="007E508A"/>
    <w:rsid w:val="007E50D0"/>
    <w:rsid w:val="007E5280"/>
    <w:rsid w:val="007E5A69"/>
    <w:rsid w:val="007E5DF8"/>
    <w:rsid w:val="007E6126"/>
    <w:rsid w:val="007E63BC"/>
    <w:rsid w:val="007E64AD"/>
    <w:rsid w:val="007E67C0"/>
    <w:rsid w:val="007E69A3"/>
    <w:rsid w:val="007E6B15"/>
    <w:rsid w:val="007E739C"/>
    <w:rsid w:val="007E7969"/>
    <w:rsid w:val="007E7FC1"/>
    <w:rsid w:val="007F0440"/>
    <w:rsid w:val="007F07DA"/>
    <w:rsid w:val="007F0A4B"/>
    <w:rsid w:val="007F0ABB"/>
    <w:rsid w:val="007F0B82"/>
    <w:rsid w:val="007F1029"/>
    <w:rsid w:val="007F16E0"/>
    <w:rsid w:val="007F1836"/>
    <w:rsid w:val="007F191D"/>
    <w:rsid w:val="007F1D30"/>
    <w:rsid w:val="007F1D50"/>
    <w:rsid w:val="007F2017"/>
    <w:rsid w:val="007F2031"/>
    <w:rsid w:val="007F2044"/>
    <w:rsid w:val="007F22FB"/>
    <w:rsid w:val="007F2541"/>
    <w:rsid w:val="007F2663"/>
    <w:rsid w:val="007F29F9"/>
    <w:rsid w:val="007F2A5D"/>
    <w:rsid w:val="007F2B0A"/>
    <w:rsid w:val="007F2D66"/>
    <w:rsid w:val="007F3319"/>
    <w:rsid w:val="007F3809"/>
    <w:rsid w:val="007F39BA"/>
    <w:rsid w:val="007F3A8A"/>
    <w:rsid w:val="007F3AAE"/>
    <w:rsid w:val="007F3B8F"/>
    <w:rsid w:val="007F3E87"/>
    <w:rsid w:val="007F40ED"/>
    <w:rsid w:val="007F424E"/>
    <w:rsid w:val="007F4383"/>
    <w:rsid w:val="007F474E"/>
    <w:rsid w:val="007F483D"/>
    <w:rsid w:val="007F4A3D"/>
    <w:rsid w:val="007F4C7C"/>
    <w:rsid w:val="007F5333"/>
    <w:rsid w:val="007F5376"/>
    <w:rsid w:val="007F56CB"/>
    <w:rsid w:val="007F5891"/>
    <w:rsid w:val="007F5CDC"/>
    <w:rsid w:val="007F615F"/>
    <w:rsid w:val="007F632C"/>
    <w:rsid w:val="007F638A"/>
    <w:rsid w:val="007F65CF"/>
    <w:rsid w:val="007F660B"/>
    <w:rsid w:val="007F6989"/>
    <w:rsid w:val="007F6ADF"/>
    <w:rsid w:val="007F6BE3"/>
    <w:rsid w:val="007F6E6D"/>
    <w:rsid w:val="007F6E7C"/>
    <w:rsid w:val="007F72A4"/>
    <w:rsid w:val="007F7303"/>
    <w:rsid w:val="007F7358"/>
    <w:rsid w:val="007F73A6"/>
    <w:rsid w:val="007F76F3"/>
    <w:rsid w:val="007F775C"/>
    <w:rsid w:val="007F7BF6"/>
    <w:rsid w:val="007F7EC7"/>
    <w:rsid w:val="008001A3"/>
    <w:rsid w:val="008001B2"/>
    <w:rsid w:val="00800525"/>
    <w:rsid w:val="00800D0C"/>
    <w:rsid w:val="00800E78"/>
    <w:rsid w:val="00800EE4"/>
    <w:rsid w:val="00801CB7"/>
    <w:rsid w:val="00801CFF"/>
    <w:rsid w:val="00801FB5"/>
    <w:rsid w:val="00802172"/>
    <w:rsid w:val="00802302"/>
    <w:rsid w:val="00802337"/>
    <w:rsid w:val="008026A7"/>
    <w:rsid w:val="00802ADE"/>
    <w:rsid w:val="00802B80"/>
    <w:rsid w:val="00802BAC"/>
    <w:rsid w:val="00802C90"/>
    <w:rsid w:val="00802E28"/>
    <w:rsid w:val="0080312B"/>
    <w:rsid w:val="0080320E"/>
    <w:rsid w:val="00803470"/>
    <w:rsid w:val="00803D18"/>
    <w:rsid w:val="008040F5"/>
    <w:rsid w:val="00804453"/>
    <w:rsid w:val="00804514"/>
    <w:rsid w:val="00804BF9"/>
    <w:rsid w:val="00804BFA"/>
    <w:rsid w:val="00804E1B"/>
    <w:rsid w:val="00804FC2"/>
    <w:rsid w:val="0080507F"/>
    <w:rsid w:val="0080519D"/>
    <w:rsid w:val="0080545C"/>
    <w:rsid w:val="0080577E"/>
    <w:rsid w:val="00805DD8"/>
    <w:rsid w:val="00805E28"/>
    <w:rsid w:val="00806AC9"/>
    <w:rsid w:val="00806FE1"/>
    <w:rsid w:val="00807631"/>
    <w:rsid w:val="00807E37"/>
    <w:rsid w:val="00810635"/>
    <w:rsid w:val="00810903"/>
    <w:rsid w:val="00810F3A"/>
    <w:rsid w:val="00811203"/>
    <w:rsid w:val="00811398"/>
    <w:rsid w:val="008115EF"/>
    <w:rsid w:val="008118D1"/>
    <w:rsid w:val="00812027"/>
    <w:rsid w:val="008120CC"/>
    <w:rsid w:val="0081266D"/>
    <w:rsid w:val="00812A4A"/>
    <w:rsid w:val="00812BB0"/>
    <w:rsid w:val="00812C62"/>
    <w:rsid w:val="0081332C"/>
    <w:rsid w:val="0081350A"/>
    <w:rsid w:val="008137C3"/>
    <w:rsid w:val="00813879"/>
    <w:rsid w:val="00813CA4"/>
    <w:rsid w:val="00813EAC"/>
    <w:rsid w:val="0081416D"/>
    <w:rsid w:val="008141FD"/>
    <w:rsid w:val="00814438"/>
    <w:rsid w:val="00814620"/>
    <w:rsid w:val="008146A4"/>
    <w:rsid w:val="0081494B"/>
    <w:rsid w:val="00814C04"/>
    <w:rsid w:val="00814F33"/>
    <w:rsid w:val="00814FB1"/>
    <w:rsid w:val="00815B24"/>
    <w:rsid w:val="00815DEB"/>
    <w:rsid w:val="00815F08"/>
    <w:rsid w:val="008163F8"/>
    <w:rsid w:val="00816827"/>
    <w:rsid w:val="00816A31"/>
    <w:rsid w:val="00816A79"/>
    <w:rsid w:val="00816F6C"/>
    <w:rsid w:val="00817445"/>
    <w:rsid w:val="008175BF"/>
    <w:rsid w:val="00817BC9"/>
    <w:rsid w:val="00817D36"/>
    <w:rsid w:val="00817D59"/>
    <w:rsid w:val="00820234"/>
    <w:rsid w:val="00820260"/>
    <w:rsid w:val="008202D3"/>
    <w:rsid w:val="008207AB"/>
    <w:rsid w:val="00820B1E"/>
    <w:rsid w:val="00820C93"/>
    <w:rsid w:val="00820D48"/>
    <w:rsid w:val="00820FC6"/>
    <w:rsid w:val="0082106F"/>
    <w:rsid w:val="00821515"/>
    <w:rsid w:val="00821983"/>
    <w:rsid w:val="008219FE"/>
    <w:rsid w:val="00821ACE"/>
    <w:rsid w:val="00822220"/>
    <w:rsid w:val="00822A44"/>
    <w:rsid w:val="00822D86"/>
    <w:rsid w:val="00822F13"/>
    <w:rsid w:val="0082311D"/>
    <w:rsid w:val="00823569"/>
    <w:rsid w:val="008237C8"/>
    <w:rsid w:val="00823B59"/>
    <w:rsid w:val="00823B71"/>
    <w:rsid w:val="00823C8E"/>
    <w:rsid w:val="00823E66"/>
    <w:rsid w:val="008242FB"/>
    <w:rsid w:val="008246A0"/>
    <w:rsid w:val="008246A5"/>
    <w:rsid w:val="008246C6"/>
    <w:rsid w:val="00824B19"/>
    <w:rsid w:val="008253D8"/>
    <w:rsid w:val="00825459"/>
    <w:rsid w:val="008255A6"/>
    <w:rsid w:val="00825645"/>
    <w:rsid w:val="008256CD"/>
    <w:rsid w:val="008259AA"/>
    <w:rsid w:val="00825BB5"/>
    <w:rsid w:val="00826F04"/>
    <w:rsid w:val="008272C7"/>
    <w:rsid w:val="0082778D"/>
    <w:rsid w:val="00827AF9"/>
    <w:rsid w:val="00827DA4"/>
    <w:rsid w:val="00827E1D"/>
    <w:rsid w:val="00827F81"/>
    <w:rsid w:val="00830147"/>
    <w:rsid w:val="00831024"/>
    <w:rsid w:val="0083139D"/>
    <w:rsid w:val="008313A7"/>
    <w:rsid w:val="008316E1"/>
    <w:rsid w:val="008318C0"/>
    <w:rsid w:val="00831C55"/>
    <w:rsid w:val="00831D14"/>
    <w:rsid w:val="00831D45"/>
    <w:rsid w:val="00832323"/>
    <w:rsid w:val="0083238D"/>
    <w:rsid w:val="00832938"/>
    <w:rsid w:val="0083320E"/>
    <w:rsid w:val="00833433"/>
    <w:rsid w:val="0083352F"/>
    <w:rsid w:val="00833B00"/>
    <w:rsid w:val="00833CCA"/>
    <w:rsid w:val="00833DAA"/>
    <w:rsid w:val="00834B78"/>
    <w:rsid w:val="00834BB1"/>
    <w:rsid w:val="00835289"/>
    <w:rsid w:val="008354D3"/>
    <w:rsid w:val="008354F4"/>
    <w:rsid w:val="00835968"/>
    <w:rsid w:val="008361F0"/>
    <w:rsid w:val="0083639A"/>
    <w:rsid w:val="00836CBA"/>
    <w:rsid w:val="00837214"/>
    <w:rsid w:val="00837F53"/>
    <w:rsid w:val="008404C0"/>
    <w:rsid w:val="008404E5"/>
    <w:rsid w:val="00840684"/>
    <w:rsid w:val="00840782"/>
    <w:rsid w:val="008408BE"/>
    <w:rsid w:val="00841645"/>
    <w:rsid w:val="00841674"/>
    <w:rsid w:val="00841937"/>
    <w:rsid w:val="00841B79"/>
    <w:rsid w:val="00841D10"/>
    <w:rsid w:val="0084206C"/>
    <w:rsid w:val="0084207A"/>
    <w:rsid w:val="00842536"/>
    <w:rsid w:val="00842DB0"/>
    <w:rsid w:val="00842EDF"/>
    <w:rsid w:val="00842F58"/>
    <w:rsid w:val="008436F0"/>
    <w:rsid w:val="008437CD"/>
    <w:rsid w:val="00843BCE"/>
    <w:rsid w:val="00843D30"/>
    <w:rsid w:val="00843FAA"/>
    <w:rsid w:val="00844320"/>
    <w:rsid w:val="00844420"/>
    <w:rsid w:val="00844F12"/>
    <w:rsid w:val="00844FE9"/>
    <w:rsid w:val="00845118"/>
    <w:rsid w:val="0084512B"/>
    <w:rsid w:val="0084516F"/>
    <w:rsid w:val="008454A6"/>
    <w:rsid w:val="008459C7"/>
    <w:rsid w:val="00845AEB"/>
    <w:rsid w:val="00845E9C"/>
    <w:rsid w:val="0084620D"/>
    <w:rsid w:val="00846C3F"/>
    <w:rsid w:val="00846EB2"/>
    <w:rsid w:val="00847148"/>
    <w:rsid w:val="008471E7"/>
    <w:rsid w:val="0084788C"/>
    <w:rsid w:val="008479D8"/>
    <w:rsid w:val="008505F0"/>
    <w:rsid w:val="00850A80"/>
    <w:rsid w:val="00850B4E"/>
    <w:rsid w:val="00851180"/>
    <w:rsid w:val="008511BA"/>
    <w:rsid w:val="008513EC"/>
    <w:rsid w:val="008515DE"/>
    <w:rsid w:val="00851C28"/>
    <w:rsid w:val="00851E9C"/>
    <w:rsid w:val="008521F6"/>
    <w:rsid w:val="008522A1"/>
    <w:rsid w:val="00852851"/>
    <w:rsid w:val="008529AA"/>
    <w:rsid w:val="00852A17"/>
    <w:rsid w:val="00852AC2"/>
    <w:rsid w:val="00852D4B"/>
    <w:rsid w:val="00853108"/>
    <w:rsid w:val="00853280"/>
    <w:rsid w:val="008534D1"/>
    <w:rsid w:val="008539DF"/>
    <w:rsid w:val="00853D56"/>
    <w:rsid w:val="00853E27"/>
    <w:rsid w:val="00853FE8"/>
    <w:rsid w:val="008542A5"/>
    <w:rsid w:val="008543AB"/>
    <w:rsid w:val="0085444D"/>
    <w:rsid w:val="008544F8"/>
    <w:rsid w:val="0085469C"/>
    <w:rsid w:val="008546EB"/>
    <w:rsid w:val="00854892"/>
    <w:rsid w:val="008548AF"/>
    <w:rsid w:val="00854C46"/>
    <w:rsid w:val="00854D34"/>
    <w:rsid w:val="00855968"/>
    <w:rsid w:val="00855B4D"/>
    <w:rsid w:val="00855E87"/>
    <w:rsid w:val="008565CF"/>
    <w:rsid w:val="0085681B"/>
    <w:rsid w:val="008570C8"/>
    <w:rsid w:val="00857122"/>
    <w:rsid w:val="008572A9"/>
    <w:rsid w:val="00857727"/>
    <w:rsid w:val="00857DFE"/>
    <w:rsid w:val="00857EFD"/>
    <w:rsid w:val="0086031D"/>
    <w:rsid w:val="00860346"/>
    <w:rsid w:val="00860604"/>
    <w:rsid w:val="00860621"/>
    <w:rsid w:val="00860955"/>
    <w:rsid w:val="00860D8B"/>
    <w:rsid w:val="00860EC3"/>
    <w:rsid w:val="008614C1"/>
    <w:rsid w:val="00861A5C"/>
    <w:rsid w:val="00861D1F"/>
    <w:rsid w:val="0086249D"/>
    <w:rsid w:val="0086270B"/>
    <w:rsid w:val="00862A88"/>
    <w:rsid w:val="00862AF1"/>
    <w:rsid w:val="00862CC4"/>
    <w:rsid w:val="00862F59"/>
    <w:rsid w:val="00863063"/>
    <w:rsid w:val="008633F9"/>
    <w:rsid w:val="008637C2"/>
    <w:rsid w:val="00863F6F"/>
    <w:rsid w:val="00864042"/>
    <w:rsid w:val="008640B8"/>
    <w:rsid w:val="0086430A"/>
    <w:rsid w:val="008646CE"/>
    <w:rsid w:val="00864AD8"/>
    <w:rsid w:val="00865053"/>
    <w:rsid w:val="008650F7"/>
    <w:rsid w:val="0086527F"/>
    <w:rsid w:val="00865733"/>
    <w:rsid w:val="00866255"/>
    <w:rsid w:val="0086654A"/>
    <w:rsid w:val="00867379"/>
    <w:rsid w:val="00867AA1"/>
    <w:rsid w:val="00867CD0"/>
    <w:rsid w:val="00867E7C"/>
    <w:rsid w:val="00870644"/>
    <w:rsid w:val="0087086C"/>
    <w:rsid w:val="008711B2"/>
    <w:rsid w:val="008712CB"/>
    <w:rsid w:val="00871420"/>
    <w:rsid w:val="00871652"/>
    <w:rsid w:val="00871876"/>
    <w:rsid w:val="00871D57"/>
    <w:rsid w:val="0087232F"/>
    <w:rsid w:val="00872478"/>
    <w:rsid w:val="008724DF"/>
    <w:rsid w:val="008725FE"/>
    <w:rsid w:val="00872CA2"/>
    <w:rsid w:val="00872E4A"/>
    <w:rsid w:val="00873073"/>
    <w:rsid w:val="008733B2"/>
    <w:rsid w:val="00873437"/>
    <w:rsid w:val="00873448"/>
    <w:rsid w:val="008734A2"/>
    <w:rsid w:val="0087382E"/>
    <w:rsid w:val="00873B5E"/>
    <w:rsid w:val="00873BBA"/>
    <w:rsid w:val="00873D84"/>
    <w:rsid w:val="00873D96"/>
    <w:rsid w:val="00874063"/>
    <w:rsid w:val="00874401"/>
    <w:rsid w:val="0087448E"/>
    <w:rsid w:val="0087451A"/>
    <w:rsid w:val="0087457B"/>
    <w:rsid w:val="008745F2"/>
    <w:rsid w:val="008748BE"/>
    <w:rsid w:val="0087510F"/>
    <w:rsid w:val="00875181"/>
    <w:rsid w:val="00875286"/>
    <w:rsid w:val="008757A9"/>
    <w:rsid w:val="00875952"/>
    <w:rsid w:val="00875D9C"/>
    <w:rsid w:val="00875E73"/>
    <w:rsid w:val="00875F5B"/>
    <w:rsid w:val="00876084"/>
    <w:rsid w:val="00876168"/>
    <w:rsid w:val="00876275"/>
    <w:rsid w:val="00876521"/>
    <w:rsid w:val="008765F1"/>
    <w:rsid w:val="00876889"/>
    <w:rsid w:val="0087688C"/>
    <w:rsid w:val="00876A57"/>
    <w:rsid w:val="00876B20"/>
    <w:rsid w:val="00876FC0"/>
    <w:rsid w:val="008775A6"/>
    <w:rsid w:val="00877619"/>
    <w:rsid w:val="00877B95"/>
    <w:rsid w:val="00877C11"/>
    <w:rsid w:val="00880699"/>
    <w:rsid w:val="00881624"/>
    <w:rsid w:val="0088166C"/>
    <w:rsid w:val="00881F70"/>
    <w:rsid w:val="00882BB2"/>
    <w:rsid w:val="00882E8A"/>
    <w:rsid w:val="0088301E"/>
    <w:rsid w:val="0088398B"/>
    <w:rsid w:val="00883AFC"/>
    <w:rsid w:val="00883BA9"/>
    <w:rsid w:val="00883CEA"/>
    <w:rsid w:val="0088434B"/>
    <w:rsid w:val="008844BF"/>
    <w:rsid w:val="00884551"/>
    <w:rsid w:val="008852F4"/>
    <w:rsid w:val="0088531D"/>
    <w:rsid w:val="0088593B"/>
    <w:rsid w:val="00885C00"/>
    <w:rsid w:val="00886548"/>
    <w:rsid w:val="00886915"/>
    <w:rsid w:val="00886D3A"/>
    <w:rsid w:val="00886E53"/>
    <w:rsid w:val="00886FCB"/>
    <w:rsid w:val="0088757A"/>
    <w:rsid w:val="0088757E"/>
    <w:rsid w:val="00887B8E"/>
    <w:rsid w:val="00887BAC"/>
    <w:rsid w:val="00890A19"/>
    <w:rsid w:val="00890B64"/>
    <w:rsid w:val="00891994"/>
    <w:rsid w:val="008919AB"/>
    <w:rsid w:val="0089203B"/>
    <w:rsid w:val="0089204E"/>
    <w:rsid w:val="0089260D"/>
    <w:rsid w:val="00892E80"/>
    <w:rsid w:val="00892F5A"/>
    <w:rsid w:val="00893210"/>
    <w:rsid w:val="00893686"/>
    <w:rsid w:val="00893952"/>
    <w:rsid w:val="00893C6A"/>
    <w:rsid w:val="00894865"/>
    <w:rsid w:val="00894C04"/>
    <w:rsid w:val="00894EA8"/>
    <w:rsid w:val="008952A1"/>
    <w:rsid w:val="00895AAE"/>
    <w:rsid w:val="00895ACC"/>
    <w:rsid w:val="00896A8F"/>
    <w:rsid w:val="00896D12"/>
    <w:rsid w:val="008973D9"/>
    <w:rsid w:val="00897ADA"/>
    <w:rsid w:val="008A06B9"/>
    <w:rsid w:val="008A0B65"/>
    <w:rsid w:val="008A0D24"/>
    <w:rsid w:val="008A10DF"/>
    <w:rsid w:val="008A1742"/>
    <w:rsid w:val="008A1767"/>
    <w:rsid w:val="008A1966"/>
    <w:rsid w:val="008A1A8E"/>
    <w:rsid w:val="008A1B60"/>
    <w:rsid w:val="008A1D5E"/>
    <w:rsid w:val="008A20EE"/>
    <w:rsid w:val="008A2553"/>
    <w:rsid w:val="008A263A"/>
    <w:rsid w:val="008A2701"/>
    <w:rsid w:val="008A2AB0"/>
    <w:rsid w:val="008A2EEB"/>
    <w:rsid w:val="008A2F1A"/>
    <w:rsid w:val="008A32A9"/>
    <w:rsid w:val="008A32B7"/>
    <w:rsid w:val="008A36D9"/>
    <w:rsid w:val="008A3B11"/>
    <w:rsid w:val="008A3B9C"/>
    <w:rsid w:val="008A3FCD"/>
    <w:rsid w:val="008A402C"/>
    <w:rsid w:val="008A41A9"/>
    <w:rsid w:val="008A4833"/>
    <w:rsid w:val="008A48BC"/>
    <w:rsid w:val="008A49EE"/>
    <w:rsid w:val="008A4C51"/>
    <w:rsid w:val="008A5922"/>
    <w:rsid w:val="008A5A11"/>
    <w:rsid w:val="008A5D5B"/>
    <w:rsid w:val="008A5E3F"/>
    <w:rsid w:val="008A5F44"/>
    <w:rsid w:val="008A663B"/>
    <w:rsid w:val="008A67CE"/>
    <w:rsid w:val="008A67D8"/>
    <w:rsid w:val="008A688E"/>
    <w:rsid w:val="008A68A9"/>
    <w:rsid w:val="008A698E"/>
    <w:rsid w:val="008A6998"/>
    <w:rsid w:val="008A6C30"/>
    <w:rsid w:val="008A7AED"/>
    <w:rsid w:val="008B03B0"/>
    <w:rsid w:val="008B061D"/>
    <w:rsid w:val="008B092A"/>
    <w:rsid w:val="008B0A90"/>
    <w:rsid w:val="008B0AA1"/>
    <w:rsid w:val="008B0C56"/>
    <w:rsid w:val="008B0D5C"/>
    <w:rsid w:val="008B0DCD"/>
    <w:rsid w:val="008B1354"/>
    <w:rsid w:val="008B1570"/>
    <w:rsid w:val="008B1CD4"/>
    <w:rsid w:val="008B1EEE"/>
    <w:rsid w:val="008B1F68"/>
    <w:rsid w:val="008B2559"/>
    <w:rsid w:val="008B29F9"/>
    <w:rsid w:val="008B32C6"/>
    <w:rsid w:val="008B345A"/>
    <w:rsid w:val="008B3942"/>
    <w:rsid w:val="008B3E02"/>
    <w:rsid w:val="008B4069"/>
    <w:rsid w:val="008B4087"/>
    <w:rsid w:val="008B41EA"/>
    <w:rsid w:val="008B428A"/>
    <w:rsid w:val="008B4853"/>
    <w:rsid w:val="008B4AF3"/>
    <w:rsid w:val="008B4C46"/>
    <w:rsid w:val="008B5057"/>
    <w:rsid w:val="008B52B1"/>
    <w:rsid w:val="008B57B0"/>
    <w:rsid w:val="008B5A32"/>
    <w:rsid w:val="008B5AB5"/>
    <w:rsid w:val="008B626D"/>
    <w:rsid w:val="008B6386"/>
    <w:rsid w:val="008B63FD"/>
    <w:rsid w:val="008B6486"/>
    <w:rsid w:val="008B6915"/>
    <w:rsid w:val="008B6C61"/>
    <w:rsid w:val="008B6D48"/>
    <w:rsid w:val="008B775C"/>
    <w:rsid w:val="008B776C"/>
    <w:rsid w:val="008B781C"/>
    <w:rsid w:val="008B78F7"/>
    <w:rsid w:val="008B7B78"/>
    <w:rsid w:val="008B7D03"/>
    <w:rsid w:val="008C0298"/>
    <w:rsid w:val="008C0499"/>
    <w:rsid w:val="008C0814"/>
    <w:rsid w:val="008C0E65"/>
    <w:rsid w:val="008C0FBA"/>
    <w:rsid w:val="008C1185"/>
    <w:rsid w:val="008C1412"/>
    <w:rsid w:val="008C1465"/>
    <w:rsid w:val="008C161D"/>
    <w:rsid w:val="008C1681"/>
    <w:rsid w:val="008C1945"/>
    <w:rsid w:val="008C1AEB"/>
    <w:rsid w:val="008C1F77"/>
    <w:rsid w:val="008C2818"/>
    <w:rsid w:val="008C2BD5"/>
    <w:rsid w:val="008C3302"/>
    <w:rsid w:val="008C33EE"/>
    <w:rsid w:val="008C3555"/>
    <w:rsid w:val="008C3FBA"/>
    <w:rsid w:val="008C4038"/>
    <w:rsid w:val="008C4045"/>
    <w:rsid w:val="008C4050"/>
    <w:rsid w:val="008C40BC"/>
    <w:rsid w:val="008C416A"/>
    <w:rsid w:val="008C48CB"/>
    <w:rsid w:val="008C4977"/>
    <w:rsid w:val="008C4B8A"/>
    <w:rsid w:val="008C522E"/>
    <w:rsid w:val="008C5483"/>
    <w:rsid w:val="008C5718"/>
    <w:rsid w:val="008C593E"/>
    <w:rsid w:val="008C59F5"/>
    <w:rsid w:val="008C6121"/>
    <w:rsid w:val="008C6379"/>
    <w:rsid w:val="008C63BD"/>
    <w:rsid w:val="008C6702"/>
    <w:rsid w:val="008C6E3E"/>
    <w:rsid w:val="008C6ED2"/>
    <w:rsid w:val="008C6F96"/>
    <w:rsid w:val="008C7080"/>
    <w:rsid w:val="008C7AC2"/>
    <w:rsid w:val="008C7BD7"/>
    <w:rsid w:val="008C7E62"/>
    <w:rsid w:val="008C7F2C"/>
    <w:rsid w:val="008D0005"/>
    <w:rsid w:val="008D0193"/>
    <w:rsid w:val="008D06CB"/>
    <w:rsid w:val="008D0845"/>
    <w:rsid w:val="008D0855"/>
    <w:rsid w:val="008D0945"/>
    <w:rsid w:val="008D0D4B"/>
    <w:rsid w:val="008D0F49"/>
    <w:rsid w:val="008D1045"/>
    <w:rsid w:val="008D1081"/>
    <w:rsid w:val="008D156F"/>
    <w:rsid w:val="008D15C1"/>
    <w:rsid w:val="008D1697"/>
    <w:rsid w:val="008D16F6"/>
    <w:rsid w:val="008D19C6"/>
    <w:rsid w:val="008D1B53"/>
    <w:rsid w:val="008D1BA5"/>
    <w:rsid w:val="008D1ED4"/>
    <w:rsid w:val="008D20F3"/>
    <w:rsid w:val="008D2518"/>
    <w:rsid w:val="008D2733"/>
    <w:rsid w:val="008D2BBE"/>
    <w:rsid w:val="008D2EAC"/>
    <w:rsid w:val="008D31E8"/>
    <w:rsid w:val="008D357E"/>
    <w:rsid w:val="008D37A0"/>
    <w:rsid w:val="008D37F8"/>
    <w:rsid w:val="008D3DED"/>
    <w:rsid w:val="008D4690"/>
    <w:rsid w:val="008D46E2"/>
    <w:rsid w:val="008D476F"/>
    <w:rsid w:val="008D478A"/>
    <w:rsid w:val="008D4DC4"/>
    <w:rsid w:val="008D4EF2"/>
    <w:rsid w:val="008D53B3"/>
    <w:rsid w:val="008D5622"/>
    <w:rsid w:val="008D5E7C"/>
    <w:rsid w:val="008D5E98"/>
    <w:rsid w:val="008D5FC3"/>
    <w:rsid w:val="008D5FE4"/>
    <w:rsid w:val="008D6085"/>
    <w:rsid w:val="008D6C1E"/>
    <w:rsid w:val="008D6DA7"/>
    <w:rsid w:val="008D6DD6"/>
    <w:rsid w:val="008D6ED6"/>
    <w:rsid w:val="008D7389"/>
    <w:rsid w:val="008D76BA"/>
    <w:rsid w:val="008D76C6"/>
    <w:rsid w:val="008D7968"/>
    <w:rsid w:val="008D7B9A"/>
    <w:rsid w:val="008D7C78"/>
    <w:rsid w:val="008E011B"/>
    <w:rsid w:val="008E0192"/>
    <w:rsid w:val="008E0271"/>
    <w:rsid w:val="008E06F5"/>
    <w:rsid w:val="008E0AB6"/>
    <w:rsid w:val="008E0C26"/>
    <w:rsid w:val="008E0D2A"/>
    <w:rsid w:val="008E0EA0"/>
    <w:rsid w:val="008E0F67"/>
    <w:rsid w:val="008E140F"/>
    <w:rsid w:val="008E1ADC"/>
    <w:rsid w:val="008E1CD1"/>
    <w:rsid w:val="008E1D9E"/>
    <w:rsid w:val="008E1DFC"/>
    <w:rsid w:val="008E2226"/>
    <w:rsid w:val="008E2C39"/>
    <w:rsid w:val="008E2E0F"/>
    <w:rsid w:val="008E2EA6"/>
    <w:rsid w:val="008E3482"/>
    <w:rsid w:val="008E3859"/>
    <w:rsid w:val="008E396B"/>
    <w:rsid w:val="008E458B"/>
    <w:rsid w:val="008E4688"/>
    <w:rsid w:val="008E46BE"/>
    <w:rsid w:val="008E4D67"/>
    <w:rsid w:val="008E4E74"/>
    <w:rsid w:val="008E59B2"/>
    <w:rsid w:val="008E5A30"/>
    <w:rsid w:val="008E5B2B"/>
    <w:rsid w:val="008E5C7D"/>
    <w:rsid w:val="008E5CF5"/>
    <w:rsid w:val="008E639A"/>
    <w:rsid w:val="008E6BC6"/>
    <w:rsid w:val="008E6C54"/>
    <w:rsid w:val="008E6ED0"/>
    <w:rsid w:val="008E7007"/>
    <w:rsid w:val="008E70CE"/>
    <w:rsid w:val="008E7370"/>
    <w:rsid w:val="008E73CC"/>
    <w:rsid w:val="008E7494"/>
    <w:rsid w:val="008E77DB"/>
    <w:rsid w:val="008E783B"/>
    <w:rsid w:val="008E7CD2"/>
    <w:rsid w:val="008F013E"/>
    <w:rsid w:val="008F0670"/>
    <w:rsid w:val="008F0779"/>
    <w:rsid w:val="008F0A86"/>
    <w:rsid w:val="008F0F5A"/>
    <w:rsid w:val="008F0FA0"/>
    <w:rsid w:val="008F10B6"/>
    <w:rsid w:val="008F13B6"/>
    <w:rsid w:val="008F152E"/>
    <w:rsid w:val="008F1654"/>
    <w:rsid w:val="008F16CB"/>
    <w:rsid w:val="008F17AC"/>
    <w:rsid w:val="008F1CAE"/>
    <w:rsid w:val="008F2038"/>
    <w:rsid w:val="008F224A"/>
    <w:rsid w:val="008F2598"/>
    <w:rsid w:val="008F298E"/>
    <w:rsid w:val="008F2AC9"/>
    <w:rsid w:val="008F2DAA"/>
    <w:rsid w:val="008F2DBA"/>
    <w:rsid w:val="008F31C2"/>
    <w:rsid w:val="008F3B58"/>
    <w:rsid w:val="008F3C0D"/>
    <w:rsid w:val="008F3F19"/>
    <w:rsid w:val="008F406A"/>
    <w:rsid w:val="008F4164"/>
    <w:rsid w:val="008F41CE"/>
    <w:rsid w:val="008F430C"/>
    <w:rsid w:val="008F4886"/>
    <w:rsid w:val="008F4BFA"/>
    <w:rsid w:val="008F4E09"/>
    <w:rsid w:val="008F4E68"/>
    <w:rsid w:val="008F57F8"/>
    <w:rsid w:val="008F5807"/>
    <w:rsid w:val="008F62FE"/>
    <w:rsid w:val="008F643E"/>
    <w:rsid w:val="008F6922"/>
    <w:rsid w:val="008F6E2A"/>
    <w:rsid w:val="008F6F12"/>
    <w:rsid w:val="008F7AE7"/>
    <w:rsid w:val="008F7BA0"/>
    <w:rsid w:val="008F7E2F"/>
    <w:rsid w:val="00900535"/>
    <w:rsid w:val="00900649"/>
    <w:rsid w:val="00900CFE"/>
    <w:rsid w:val="0090111C"/>
    <w:rsid w:val="0090130D"/>
    <w:rsid w:val="009018C0"/>
    <w:rsid w:val="0090199F"/>
    <w:rsid w:val="00901FF3"/>
    <w:rsid w:val="009022F2"/>
    <w:rsid w:val="009025A2"/>
    <w:rsid w:val="00902617"/>
    <w:rsid w:val="00902C55"/>
    <w:rsid w:val="00902CCF"/>
    <w:rsid w:val="00903063"/>
    <w:rsid w:val="00903277"/>
    <w:rsid w:val="009032CD"/>
    <w:rsid w:val="00903796"/>
    <w:rsid w:val="009039CD"/>
    <w:rsid w:val="009041C9"/>
    <w:rsid w:val="00904279"/>
    <w:rsid w:val="009047E4"/>
    <w:rsid w:val="00904E52"/>
    <w:rsid w:val="009052E6"/>
    <w:rsid w:val="00905343"/>
    <w:rsid w:val="0090554C"/>
    <w:rsid w:val="00905941"/>
    <w:rsid w:val="00905B1E"/>
    <w:rsid w:val="00905D95"/>
    <w:rsid w:val="00905EAB"/>
    <w:rsid w:val="00906566"/>
    <w:rsid w:val="00906D57"/>
    <w:rsid w:val="00906DCB"/>
    <w:rsid w:val="009072FB"/>
    <w:rsid w:val="00910472"/>
    <w:rsid w:val="009106A8"/>
    <w:rsid w:val="009106E7"/>
    <w:rsid w:val="00910C43"/>
    <w:rsid w:val="00910CD5"/>
    <w:rsid w:val="00910D58"/>
    <w:rsid w:val="00911997"/>
    <w:rsid w:val="00911A8E"/>
    <w:rsid w:val="00911ACB"/>
    <w:rsid w:val="00912129"/>
    <w:rsid w:val="00912470"/>
    <w:rsid w:val="009124C0"/>
    <w:rsid w:val="0091257B"/>
    <w:rsid w:val="009125AD"/>
    <w:rsid w:val="00912711"/>
    <w:rsid w:val="00912FA0"/>
    <w:rsid w:val="00913256"/>
    <w:rsid w:val="00913A87"/>
    <w:rsid w:val="00913A96"/>
    <w:rsid w:val="00914359"/>
    <w:rsid w:val="00914452"/>
    <w:rsid w:val="009145D3"/>
    <w:rsid w:val="009149B4"/>
    <w:rsid w:val="00914BFB"/>
    <w:rsid w:val="00914E2B"/>
    <w:rsid w:val="00914EDB"/>
    <w:rsid w:val="009150C9"/>
    <w:rsid w:val="0091524B"/>
    <w:rsid w:val="00915440"/>
    <w:rsid w:val="00915A54"/>
    <w:rsid w:val="00915B69"/>
    <w:rsid w:val="00915B86"/>
    <w:rsid w:val="00916014"/>
    <w:rsid w:val="00916349"/>
    <w:rsid w:val="0091639E"/>
    <w:rsid w:val="009167F4"/>
    <w:rsid w:val="00916C87"/>
    <w:rsid w:val="00916F20"/>
    <w:rsid w:val="009171D2"/>
    <w:rsid w:val="00917434"/>
    <w:rsid w:val="0091755B"/>
    <w:rsid w:val="009175AE"/>
    <w:rsid w:val="00920104"/>
    <w:rsid w:val="00920505"/>
    <w:rsid w:val="0092070E"/>
    <w:rsid w:val="00920E61"/>
    <w:rsid w:val="0092120E"/>
    <w:rsid w:val="00921BE1"/>
    <w:rsid w:val="00921C62"/>
    <w:rsid w:val="00921CC2"/>
    <w:rsid w:val="00921CFB"/>
    <w:rsid w:val="00921DBB"/>
    <w:rsid w:val="00921E4D"/>
    <w:rsid w:val="00921E85"/>
    <w:rsid w:val="00922257"/>
    <w:rsid w:val="009224B7"/>
    <w:rsid w:val="00922610"/>
    <w:rsid w:val="0092280F"/>
    <w:rsid w:val="00922CC6"/>
    <w:rsid w:val="00922E79"/>
    <w:rsid w:val="0092303C"/>
    <w:rsid w:val="00923790"/>
    <w:rsid w:val="00923AC9"/>
    <w:rsid w:val="00923B4A"/>
    <w:rsid w:val="00923BAA"/>
    <w:rsid w:val="00923CA8"/>
    <w:rsid w:val="00923D95"/>
    <w:rsid w:val="0092418E"/>
    <w:rsid w:val="009242C0"/>
    <w:rsid w:val="0092431D"/>
    <w:rsid w:val="009249EE"/>
    <w:rsid w:val="00924E8F"/>
    <w:rsid w:val="009250AE"/>
    <w:rsid w:val="00925279"/>
    <w:rsid w:val="00925461"/>
    <w:rsid w:val="00925D17"/>
    <w:rsid w:val="009265C6"/>
    <w:rsid w:val="00926765"/>
    <w:rsid w:val="00926A52"/>
    <w:rsid w:val="00926CE6"/>
    <w:rsid w:val="00926EEA"/>
    <w:rsid w:val="00927583"/>
    <w:rsid w:val="00927A86"/>
    <w:rsid w:val="00927F18"/>
    <w:rsid w:val="00927F34"/>
    <w:rsid w:val="00930765"/>
    <w:rsid w:val="00930C98"/>
    <w:rsid w:val="00930D5D"/>
    <w:rsid w:val="009317C1"/>
    <w:rsid w:val="00931AFC"/>
    <w:rsid w:val="00932206"/>
    <w:rsid w:val="0093223E"/>
    <w:rsid w:val="009323BE"/>
    <w:rsid w:val="00932713"/>
    <w:rsid w:val="00932759"/>
    <w:rsid w:val="00932CCD"/>
    <w:rsid w:val="00932DA6"/>
    <w:rsid w:val="009330AE"/>
    <w:rsid w:val="0093358D"/>
    <w:rsid w:val="00933674"/>
    <w:rsid w:val="00933F24"/>
    <w:rsid w:val="00933FE6"/>
    <w:rsid w:val="00934046"/>
    <w:rsid w:val="00934D9E"/>
    <w:rsid w:val="00934DBC"/>
    <w:rsid w:val="00934FF2"/>
    <w:rsid w:val="00935380"/>
    <w:rsid w:val="00935D20"/>
    <w:rsid w:val="00935D33"/>
    <w:rsid w:val="00935EEF"/>
    <w:rsid w:val="00935F56"/>
    <w:rsid w:val="00936361"/>
    <w:rsid w:val="009365FF"/>
    <w:rsid w:val="00936768"/>
    <w:rsid w:val="00936EFE"/>
    <w:rsid w:val="009372E4"/>
    <w:rsid w:val="0093738C"/>
    <w:rsid w:val="009375DA"/>
    <w:rsid w:val="00937793"/>
    <w:rsid w:val="009377CA"/>
    <w:rsid w:val="00937FA5"/>
    <w:rsid w:val="00940380"/>
    <w:rsid w:val="00940425"/>
    <w:rsid w:val="0094079E"/>
    <w:rsid w:val="00941398"/>
    <w:rsid w:val="009417F3"/>
    <w:rsid w:val="009418E8"/>
    <w:rsid w:val="00941904"/>
    <w:rsid w:val="00941E23"/>
    <w:rsid w:val="00942189"/>
    <w:rsid w:val="009421FD"/>
    <w:rsid w:val="00942541"/>
    <w:rsid w:val="00942DFA"/>
    <w:rsid w:val="00942EB2"/>
    <w:rsid w:val="00943197"/>
    <w:rsid w:val="00943389"/>
    <w:rsid w:val="009434B7"/>
    <w:rsid w:val="009437C3"/>
    <w:rsid w:val="009437F0"/>
    <w:rsid w:val="009438FC"/>
    <w:rsid w:val="00943B57"/>
    <w:rsid w:val="00944049"/>
    <w:rsid w:val="009441FA"/>
    <w:rsid w:val="009446EE"/>
    <w:rsid w:val="0094495C"/>
    <w:rsid w:val="00944E07"/>
    <w:rsid w:val="00944FB2"/>
    <w:rsid w:val="00945141"/>
    <w:rsid w:val="009451D6"/>
    <w:rsid w:val="009453A8"/>
    <w:rsid w:val="00945452"/>
    <w:rsid w:val="009457AB"/>
    <w:rsid w:val="00945909"/>
    <w:rsid w:val="009459EA"/>
    <w:rsid w:val="00947022"/>
    <w:rsid w:val="00947368"/>
    <w:rsid w:val="009473F1"/>
    <w:rsid w:val="0094786C"/>
    <w:rsid w:val="00947A5E"/>
    <w:rsid w:val="00947BF3"/>
    <w:rsid w:val="00947F8A"/>
    <w:rsid w:val="00947FA3"/>
    <w:rsid w:val="009500A2"/>
    <w:rsid w:val="009501D5"/>
    <w:rsid w:val="009503D4"/>
    <w:rsid w:val="0095054B"/>
    <w:rsid w:val="009507C1"/>
    <w:rsid w:val="00950ACF"/>
    <w:rsid w:val="00950F94"/>
    <w:rsid w:val="009510E7"/>
    <w:rsid w:val="00951524"/>
    <w:rsid w:val="009519B5"/>
    <w:rsid w:val="00951AB7"/>
    <w:rsid w:val="00951FE5"/>
    <w:rsid w:val="0095224A"/>
    <w:rsid w:val="00952471"/>
    <w:rsid w:val="00952927"/>
    <w:rsid w:val="00952BD7"/>
    <w:rsid w:val="00952C0D"/>
    <w:rsid w:val="00952E5E"/>
    <w:rsid w:val="00952FFB"/>
    <w:rsid w:val="009531E1"/>
    <w:rsid w:val="00953E35"/>
    <w:rsid w:val="00954211"/>
    <w:rsid w:val="0095443D"/>
    <w:rsid w:val="0095458A"/>
    <w:rsid w:val="00954895"/>
    <w:rsid w:val="009548B2"/>
    <w:rsid w:val="00954E17"/>
    <w:rsid w:val="00954ED4"/>
    <w:rsid w:val="00955053"/>
    <w:rsid w:val="009550CD"/>
    <w:rsid w:val="0095535D"/>
    <w:rsid w:val="00955450"/>
    <w:rsid w:val="009555D3"/>
    <w:rsid w:val="009563FE"/>
    <w:rsid w:val="009565AB"/>
    <w:rsid w:val="00956D04"/>
    <w:rsid w:val="00956E12"/>
    <w:rsid w:val="00956E86"/>
    <w:rsid w:val="00957E56"/>
    <w:rsid w:val="00957F4C"/>
    <w:rsid w:val="009600C7"/>
    <w:rsid w:val="009600D6"/>
    <w:rsid w:val="009607DD"/>
    <w:rsid w:val="00960914"/>
    <w:rsid w:val="00960AE5"/>
    <w:rsid w:val="00960BB0"/>
    <w:rsid w:val="00960C73"/>
    <w:rsid w:val="00960CA7"/>
    <w:rsid w:val="00960CDF"/>
    <w:rsid w:val="009611F5"/>
    <w:rsid w:val="00961B46"/>
    <w:rsid w:val="00961F35"/>
    <w:rsid w:val="00961F44"/>
    <w:rsid w:val="00961F49"/>
    <w:rsid w:val="00961FA3"/>
    <w:rsid w:val="00962BA9"/>
    <w:rsid w:val="00962D1F"/>
    <w:rsid w:val="00963156"/>
    <w:rsid w:val="00963292"/>
    <w:rsid w:val="009638DB"/>
    <w:rsid w:val="00963D84"/>
    <w:rsid w:val="0096422A"/>
    <w:rsid w:val="0096481F"/>
    <w:rsid w:val="00964EE7"/>
    <w:rsid w:val="00965128"/>
    <w:rsid w:val="00965A14"/>
    <w:rsid w:val="0096635B"/>
    <w:rsid w:val="00966503"/>
    <w:rsid w:val="009665E5"/>
    <w:rsid w:val="00966608"/>
    <w:rsid w:val="009666C9"/>
    <w:rsid w:val="00966CAE"/>
    <w:rsid w:val="00966E71"/>
    <w:rsid w:val="00966FF1"/>
    <w:rsid w:val="00967182"/>
    <w:rsid w:val="009672C6"/>
    <w:rsid w:val="00967763"/>
    <w:rsid w:val="0096778F"/>
    <w:rsid w:val="00967896"/>
    <w:rsid w:val="009678CD"/>
    <w:rsid w:val="00967CEE"/>
    <w:rsid w:val="00967F15"/>
    <w:rsid w:val="0097042E"/>
    <w:rsid w:val="00970836"/>
    <w:rsid w:val="00970DBC"/>
    <w:rsid w:val="00971BB3"/>
    <w:rsid w:val="00971BD5"/>
    <w:rsid w:val="0097204B"/>
    <w:rsid w:val="0097223F"/>
    <w:rsid w:val="0097233C"/>
    <w:rsid w:val="009726AF"/>
    <w:rsid w:val="009727FC"/>
    <w:rsid w:val="00972FA0"/>
    <w:rsid w:val="0097328C"/>
    <w:rsid w:val="0097369F"/>
    <w:rsid w:val="00973A27"/>
    <w:rsid w:val="00973AFD"/>
    <w:rsid w:val="00973B54"/>
    <w:rsid w:val="00973BAF"/>
    <w:rsid w:val="00973D92"/>
    <w:rsid w:val="00973FA7"/>
    <w:rsid w:val="0097422A"/>
    <w:rsid w:val="009745DC"/>
    <w:rsid w:val="0097479B"/>
    <w:rsid w:val="00974AFE"/>
    <w:rsid w:val="0097541D"/>
    <w:rsid w:val="00975435"/>
    <w:rsid w:val="0097552A"/>
    <w:rsid w:val="009757F9"/>
    <w:rsid w:val="00975A3B"/>
    <w:rsid w:val="00975AAE"/>
    <w:rsid w:val="00976206"/>
    <w:rsid w:val="009763E3"/>
    <w:rsid w:val="00976451"/>
    <w:rsid w:val="00976461"/>
    <w:rsid w:val="009767C1"/>
    <w:rsid w:val="009769F2"/>
    <w:rsid w:val="00976B47"/>
    <w:rsid w:val="00976BEC"/>
    <w:rsid w:val="00976E65"/>
    <w:rsid w:val="00977CF2"/>
    <w:rsid w:val="00977D84"/>
    <w:rsid w:val="009801CD"/>
    <w:rsid w:val="009804E1"/>
    <w:rsid w:val="0098077B"/>
    <w:rsid w:val="00980960"/>
    <w:rsid w:val="009809D4"/>
    <w:rsid w:val="00980A07"/>
    <w:rsid w:val="00980B02"/>
    <w:rsid w:val="00980D59"/>
    <w:rsid w:val="00980E96"/>
    <w:rsid w:val="009817CC"/>
    <w:rsid w:val="00981E64"/>
    <w:rsid w:val="009825DD"/>
    <w:rsid w:val="0098268A"/>
    <w:rsid w:val="00982953"/>
    <w:rsid w:val="00982A2B"/>
    <w:rsid w:val="00982B1E"/>
    <w:rsid w:val="00982B97"/>
    <w:rsid w:val="00982C26"/>
    <w:rsid w:val="00982E17"/>
    <w:rsid w:val="00982E67"/>
    <w:rsid w:val="00982ECA"/>
    <w:rsid w:val="00982FAF"/>
    <w:rsid w:val="00983AC0"/>
    <w:rsid w:val="00983E1D"/>
    <w:rsid w:val="00983F18"/>
    <w:rsid w:val="00983FED"/>
    <w:rsid w:val="009840E0"/>
    <w:rsid w:val="009843CE"/>
    <w:rsid w:val="009849B8"/>
    <w:rsid w:val="00984D8D"/>
    <w:rsid w:val="00984DD3"/>
    <w:rsid w:val="00984ED6"/>
    <w:rsid w:val="009854A9"/>
    <w:rsid w:val="009855AD"/>
    <w:rsid w:val="00985708"/>
    <w:rsid w:val="00985966"/>
    <w:rsid w:val="009859CC"/>
    <w:rsid w:val="009859ED"/>
    <w:rsid w:val="00985D97"/>
    <w:rsid w:val="00986011"/>
    <w:rsid w:val="0098604F"/>
    <w:rsid w:val="009861AF"/>
    <w:rsid w:val="00986255"/>
    <w:rsid w:val="0098691F"/>
    <w:rsid w:val="009870EB"/>
    <w:rsid w:val="0098748F"/>
    <w:rsid w:val="009877AB"/>
    <w:rsid w:val="00987810"/>
    <w:rsid w:val="009879C6"/>
    <w:rsid w:val="00987E7D"/>
    <w:rsid w:val="00987F4C"/>
    <w:rsid w:val="0099037F"/>
    <w:rsid w:val="0099048D"/>
    <w:rsid w:val="009905C9"/>
    <w:rsid w:val="0099085A"/>
    <w:rsid w:val="009908AC"/>
    <w:rsid w:val="009910A3"/>
    <w:rsid w:val="0099116F"/>
    <w:rsid w:val="00991280"/>
    <w:rsid w:val="009912C9"/>
    <w:rsid w:val="00991874"/>
    <w:rsid w:val="00991A77"/>
    <w:rsid w:val="00992012"/>
    <w:rsid w:val="009921A6"/>
    <w:rsid w:val="0099262A"/>
    <w:rsid w:val="00992C1D"/>
    <w:rsid w:val="00992D81"/>
    <w:rsid w:val="00992DD7"/>
    <w:rsid w:val="00992EC2"/>
    <w:rsid w:val="00993055"/>
    <w:rsid w:val="00993193"/>
    <w:rsid w:val="009933B4"/>
    <w:rsid w:val="00993503"/>
    <w:rsid w:val="00993A77"/>
    <w:rsid w:val="00993C94"/>
    <w:rsid w:val="00993D4F"/>
    <w:rsid w:val="0099403E"/>
    <w:rsid w:val="0099420D"/>
    <w:rsid w:val="0099433C"/>
    <w:rsid w:val="00994387"/>
    <w:rsid w:val="0099444D"/>
    <w:rsid w:val="0099472B"/>
    <w:rsid w:val="009948A4"/>
    <w:rsid w:val="00994AA8"/>
    <w:rsid w:val="0099572B"/>
    <w:rsid w:val="00996078"/>
    <w:rsid w:val="00996AD2"/>
    <w:rsid w:val="00996B7C"/>
    <w:rsid w:val="00996F80"/>
    <w:rsid w:val="009970C2"/>
    <w:rsid w:val="00997247"/>
    <w:rsid w:val="00997503"/>
    <w:rsid w:val="00997CEF"/>
    <w:rsid w:val="00997E59"/>
    <w:rsid w:val="00997F46"/>
    <w:rsid w:val="00997FCB"/>
    <w:rsid w:val="009A0465"/>
    <w:rsid w:val="009A062B"/>
    <w:rsid w:val="009A10BA"/>
    <w:rsid w:val="009A1255"/>
    <w:rsid w:val="009A127F"/>
    <w:rsid w:val="009A18B5"/>
    <w:rsid w:val="009A1926"/>
    <w:rsid w:val="009A1D6F"/>
    <w:rsid w:val="009A1EB1"/>
    <w:rsid w:val="009A1F13"/>
    <w:rsid w:val="009A24D4"/>
    <w:rsid w:val="009A25DD"/>
    <w:rsid w:val="009A2FF2"/>
    <w:rsid w:val="009A36FF"/>
    <w:rsid w:val="009A3CFA"/>
    <w:rsid w:val="009A3EB6"/>
    <w:rsid w:val="009A40BD"/>
    <w:rsid w:val="009A4237"/>
    <w:rsid w:val="009A43CA"/>
    <w:rsid w:val="009A4713"/>
    <w:rsid w:val="009A4B47"/>
    <w:rsid w:val="009A4D2D"/>
    <w:rsid w:val="009A4DB7"/>
    <w:rsid w:val="009A52BB"/>
    <w:rsid w:val="009A56E3"/>
    <w:rsid w:val="009A5AAF"/>
    <w:rsid w:val="009A6126"/>
    <w:rsid w:val="009A6397"/>
    <w:rsid w:val="009A644B"/>
    <w:rsid w:val="009A6F22"/>
    <w:rsid w:val="009A6F97"/>
    <w:rsid w:val="009A7097"/>
    <w:rsid w:val="009A788E"/>
    <w:rsid w:val="009A7E3D"/>
    <w:rsid w:val="009B09E5"/>
    <w:rsid w:val="009B0A38"/>
    <w:rsid w:val="009B0BC2"/>
    <w:rsid w:val="009B0F5B"/>
    <w:rsid w:val="009B1438"/>
    <w:rsid w:val="009B1D42"/>
    <w:rsid w:val="009B20B3"/>
    <w:rsid w:val="009B20F3"/>
    <w:rsid w:val="009B22B2"/>
    <w:rsid w:val="009B231D"/>
    <w:rsid w:val="009B241A"/>
    <w:rsid w:val="009B24DF"/>
    <w:rsid w:val="009B257C"/>
    <w:rsid w:val="009B270D"/>
    <w:rsid w:val="009B2849"/>
    <w:rsid w:val="009B28EA"/>
    <w:rsid w:val="009B2E71"/>
    <w:rsid w:val="009B3027"/>
    <w:rsid w:val="009B3153"/>
    <w:rsid w:val="009B3465"/>
    <w:rsid w:val="009B363C"/>
    <w:rsid w:val="009B37B8"/>
    <w:rsid w:val="009B37EF"/>
    <w:rsid w:val="009B3AA7"/>
    <w:rsid w:val="009B3B94"/>
    <w:rsid w:val="009B3C77"/>
    <w:rsid w:val="009B40AB"/>
    <w:rsid w:val="009B422E"/>
    <w:rsid w:val="009B4991"/>
    <w:rsid w:val="009B49F6"/>
    <w:rsid w:val="009B535A"/>
    <w:rsid w:val="009B5D60"/>
    <w:rsid w:val="009B6107"/>
    <w:rsid w:val="009B69BD"/>
    <w:rsid w:val="009B6CA5"/>
    <w:rsid w:val="009B6D02"/>
    <w:rsid w:val="009C0870"/>
    <w:rsid w:val="009C11D2"/>
    <w:rsid w:val="009C124A"/>
    <w:rsid w:val="009C1316"/>
    <w:rsid w:val="009C14E4"/>
    <w:rsid w:val="009C1D0A"/>
    <w:rsid w:val="009C1EED"/>
    <w:rsid w:val="009C215B"/>
    <w:rsid w:val="009C215D"/>
    <w:rsid w:val="009C219C"/>
    <w:rsid w:val="009C2C89"/>
    <w:rsid w:val="009C2E60"/>
    <w:rsid w:val="009C317C"/>
    <w:rsid w:val="009C34A0"/>
    <w:rsid w:val="009C35C7"/>
    <w:rsid w:val="009C3824"/>
    <w:rsid w:val="009C38A8"/>
    <w:rsid w:val="009C3A40"/>
    <w:rsid w:val="009C3BA8"/>
    <w:rsid w:val="009C4129"/>
    <w:rsid w:val="009C45A4"/>
    <w:rsid w:val="009C4BE2"/>
    <w:rsid w:val="009C4C39"/>
    <w:rsid w:val="009C4E65"/>
    <w:rsid w:val="009C4E79"/>
    <w:rsid w:val="009C4E88"/>
    <w:rsid w:val="009C50A8"/>
    <w:rsid w:val="009C53AB"/>
    <w:rsid w:val="009C5474"/>
    <w:rsid w:val="009C5B51"/>
    <w:rsid w:val="009C6121"/>
    <w:rsid w:val="009C68DF"/>
    <w:rsid w:val="009C6D1C"/>
    <w:rsid w:val="009C73B7"/>
    <w:rsid w:val="009C73BB"/>
    <w:rsid w:val="009C74B3"/>
    <w:rsid w:val="009C7D1C"/>
    <w:rsid w:val="009D0244"/>
    <w:rsid w:val="009D080E"/>
    <w:rsid w:val="009D0845"/>
    <w:rsid w:val="009D09AC"/>
    <w:rsid w:val="009D0B37"/>
    <w:rsid w:val="009D0BE6"/>
    <w:rsid w:val="009D1225"/>
    <w:rsid w:val="009D164A"/>
    <w:rsid w:val="009D17B3"/>
    <w:rsid w:val="009D1A4B"/>
    <w:rsid w:val="009D1AE5"/>
    <w:rsid w:val="009D1D22"/>
    <w:rsid w:val="009D228B"/>
    <w:rsid w:val="009D2433"/>
    <w:rsid w:val="009D2828"/>
    <w:rsid w:val="009D2886"/>
    <w:rsid w:val="009D3166"/>
    <w:rsid w:val="009D3586"/>
    <w:rsid w:val="009D36D0"/>
    <w:rsid w:val="009D3738"/>
    <w:rsid w:val="009D3E5F"/>
    <w:rsid w:val="009D3EC5"/>
    <w:rsid w:val="009D3F72"/>
    <w:rsid w:val="009D45A0"/>
    <w:rsid w:val="009D4A01"/>
    <w:rsid w:val="009D4B19"/>
    <w:rsid w:val="009D4B53"/>
    <w:rsid w:val="009D4DF9"/>
    <w:rsid w:val="009D4FA2"/>
    <w:rsid w:val="009D5004"/>
    <w:rsid w:val="009D50F3"/>
    <w:rsid w:val="009D5948"/>
    <w:rsid w:val="009D5D36"/>
    <w:rsid w:val="009D5F20"/>
    <w:rsid w:val="009D5F81"/>
    <w:rsid w:val="009D6342"/>
    <w:rsid w:val="009D6922"/>
    <w:rsid w:val="009D699A"/>
    <w:rsid w:val="009D6D37"/>
    <w:rsid w:val="009D6EAD"/>
    <w:rsid w:val="009D6F73"/>
    <w:rsid w:val="009D71C6"/>
    <w:rsid w:val="009D7B03"/>
    <w:rsid w:val="009D7B6B"/>
    <w:rsid w:val="009D7C61"/>
    <w:rsid w:val="009E0130"/>
    <w:rsid w:val="009E031C"/>
    <w:rsid w:val="009E0539"/>
    <w:rsid w:val="009E06D2"/>
    <w:rsid w:val="009E0A75"/>
    <w:rsid w:val="009E0AA2"/>
    <w:rsid w:val="009E0EF7"/>
    <w:rsid w:val="009E1162"/>
    <w:rsid w:val="009E156D"/>
    <w:rsid w:val="009E17A5"/>
    <w:rsid w:val="009E1A26"/>
    <w:rsid w:val="009E1BC6"/>
    <w:rsid w:val="009E1D8A"/>
    <w:rsid w:val="009E1DF5"/>
    <w:rsid w:val="009E22C3"/>
    <w:rsid w:val="009E25F4"/>
    <w:rsid w:val="009E2B3F"/>
    <w:rsid w:val="009E2CBB"/>
    <w:rsid w:val="009E340F"/>
    <w:rsid w:val="009E36AD"/>
    <w:rsid w:val="009E372A"/>
    <w:rsid w:val="009E37D0"/>
    <w:rsid w:val="009E3AE1"/>
    <w:rsid w:val="009E3AE7"/>
    <w:rsid w:val="009E3B08"/>
    <w:rsid w:val="009E3CC3"/>
    <w:rsid w:val="009E3E0D"/>
    <w:rsid w:val="009E3FC8"/>
    <w:rsid w:val="009E42F1"/>
    <w:rsid w:val="009E4887"/>
    <w:rsid w:val="009E49FD"/>
    <w:rsid w:val="009E4CEC"/>
    <w:rsid w:val="009E4CF4"/>
    <w:rsid w:val="009E5070"/>
    <w:rsid w:val="009E5562"/>
    <w:rsid w:val="009E5642"/>
    <w:rsid w:val="009E6302"/>
    <w:rsid w:val="009E66B9"/>
    <w:rsid w:val="009E6EA8"/>
    <w:rsid w:val="009E6F8C"/>
    <w:rsid w:val="009E7116"/>
    <w:rsid w:val="009E7244"/>
    <w:rsid w:val="009E7285"/>
    <w:rsid w:val="009E72B7"/>
    <w:rsid w:val="009E76C8"/>
    <w:rsid w:val="009E79F0"/>
    <w:rsid w:val="009E7A2E"/>
    <w:rsid w:val="009E7B0F"/>
    <w:rsid w:val="009E7DFF"/>
    <w:rsid w:val="009F01EB"/>
    <w:rsid w:val="009F0891"/>
    <w:rsid w:val="009F0B3E"/>
    <w:rsid w:val="009F13B2"/>
    <w:rsid w:val="009F157D"/>
    <w:rsid w:val="009F197F"/>
    <w:rsid w:val="009F1CD6"/>
    <w:rsid w:val="009F1FAD"/>
    <w:rsid w:val="009F23DB"/>
    <w:rsid w:val="009F2D2B"/>
    <w:rsid w:val="009F2E68"/>
    <w:rsid w:val="009F2F5C"/>
    <w:rsid w:val="009F337B"/>
    <w:rsid w:val="009F3A2B"/>
    <w:rsid w:val="009F3E63"/>
    <w:rsid w:val="009F3E71"/>
    <w:rsid w:val="009F3E91"/>
    <w:rsid w:val="009F3FD2"/>
    <w:rsid w:val="009F430A"/>
    <w:rsid w:val="009F485F"/>
    <w:rsid w:val="009F4868"/>
    <w:rsid w:val="009F489D"/>
    <w:rsid w:val="009F4976"/>
    <w:rsid w:val="009F4A5C"/>
    <w:rsid w:val="009F4C0A"/>
    <w:rsid w:val="009F5128"/>
    <w:rsid w:val="009F5488"/>
    <w:rsid w:val="009F5D0F"/>
    <w:rsid w:val="009F61C9"/>
    <w:rsid w:val="009F62A7"/>
    <w:rsid w:val="009F6846"/>
    <w:rsid w:val="009F6E43"/>
    <w:rsid w:val="009F6E80"/>
    <w:rsid w:val="009F7183"/>
    <w:rsid w:val="009F728F"/>
    <w:rsid w:val="009F77F8"/>
    <w:rsid w:val="009F7BD7"/>
    <w:rsid w:val="00A00189"/>
    <w:rsid w:val="00A00552"/>
    <w:rsid w:val="00A00858"/>
    <w:rsid w:val="00A00BB6"/>
    <w:rsid w:val="00A00E6B"/>
    <w:rsid w:val="00A010AE"/>
    <w:rsid w:val="00A011F4"/>
    <w:rsid w:val="00A01279"/>
    <w:rsid w:val="00A01D8A"/>
    <w:rsid w:val="00A02217"/>
    <w:rsid w:val="00A027CE"/>
    <w:rsid w:val="00A02EBD"/>
    <w:rsid w:val="00A03148"/>
    <w:rsid w:val="00A0314C"/>
    <w:rsid w:val="00A031D7"/>
    <w:rsid w:val="00A032B7"/>
    <w:rsid w:val="00A032FC"/>
    <w:rsid w:val="00A03614"/>
    <w:rsid w:val="00A03852"/>
    <w:rsid w:val="00A03876"/>
    <w:rsid w:val="00A03AE8"/>
    <w:rsid w:val="00A03D1B"/>
    <w:rsid w:val="00A04084"/>
    <w:rsid w:val="00A04936"/>
    <w:rsid w:val="00A05028"/>
    <w:rsid w:val="00A0564A"/>
    <w:rsid w:val="00A05A27"/>
    <w:rsid w:val="00A05ACB"/>
    <w:rsid w:val="00A062B8"/>
    <w:rsid w:val="00A066A8"/>
    <w:rsid w:val="00A06B11"/>
    <w:rsid w:val="00A06C9D"/>
    <w:rsid w:val="00A06F1A"/>
    <w:rsid w:val="00A07F8B"/>
    <w:rsid w:val="00A07F91"/>
    <w:rsid w:val="00A101EA"/>
    <w:rsid w:val="00A10499"/>
    <w:rsid w:val="00A1098A"/>
    <w:rsid w:val="00A10D40"/>
    <w:rsid w:val="00A11005"/>
    <w:rsid w:val="00A11042"/>
    <w:rsid w:val="00A110EF"/>
    <w:rsid w:val="00A1112C"/>
    <w:rsid w:val="00A11216"/>
    <w:rsid w:val="00A11560"/>
    <w:rsid w:val="00A11AA1"/>
    <w:rsid w:val="00A12579"/>
    <w:rsid w:val="00A129BA"/>
    <w:rsid w:val="00A12D83"/>
    <w:rsid w:val="00A1340E"/>
    <w:rsid w:val="00A135D2"/>
    <w:rsid w:val="00A136B8"/>
    <w:rsid w:val="00A13C8E"/>
    <w:rsid w:val="00A145C9"/>
    <w:rsid w:val="00A147C4"/>
    <w:rsid w:val="00A14832"/>
    <w:rsid w:val="00A148CA"/>
    <w:rsid w:val="00A14B7A"/>
    <w:rsid w:val="00A15287"/>
    <w:rsid w:val="00A153CC"/>
    <w:rsid w:val="00A15567"/>
    <w:rsid w:val="00A15B2E"/>
    <w:rsid w:val="00A15E28"/>
    <w:rsid w:val="00A15E58"/>
    <w:rsid w:val="00A15F29"/>
    <w:rsid w:val="00A161F6"/>
    <w:rsid w:val="00A16350"/>
    <w:rsid w:val="00A16412"/>
    <w:rsid w:val="00A16A5E"/>
    <w:rsid w:val="00A16A89"/>
    <w:rsid w:val="00A16AD1"/>
    <w:rsid w:val="00A17197"/>
    <w:rsid w:val="00A17778"/>
    <w:rsid w:val="00A179B7"/>
    <w:rsid w:val="00A17A1E"/>
    <w:rsid w:val="00A17C62"/>
    <w:rsid w:val="00A2023B"/>
    <w:rsid w:val="00A203D4"/>
    <w:rsid w:val="00A209CC"/>
    <w:rsid w:val="00A20FB7"/>
    <w:rsid w:val="00A21268"/>
    <w:rsid w:val="00A2139F"/>
    <w:rsid w:val="00A21D1B"/>
    <w:rsid w:val="00A21DE4"/>
    <w:rsid w:val="00A2224F"/>
    <w:rsid w:val="00A2232A"/>
    <w:rsid w:val="00A229A6"/>
    <w:rsid w:val="00A22D83"/>
    <w:rsid w:val="00A22D97"/>
    <w:rsid w:val="00A23446"/>
    <w:rsid w:val="00A238A9"/>
    <w:rsid w:val="00A23E2D"/>
    <w:rsid w:val="00A23ED6"/>
    <w:rsid w:val="00A2462C"/>
    <w:rsid w:val="00A24F9C"/>
    <w:rsid w:val="00A24FEB"/>
    <w:rsid w:val="00A257DB"/>
    <w:rsid w:val="00A25A39"/>
    <w:rsid w:val="00A25DA2"/>
    <w:rsid w:val="00A25F4F"/>
    <w:rsid w:val="00A26107"/>
    <w:rsid w:val="00A26187"/>
    <w:rsid w:val="00A26252"/>
    <w:rsid w:val="00A262F8"/>
    <w:rsid w:val="00A2633C"/>
    <w:rsid w:val="00A265EB"/>
    <w:rsid w:val="00A26C09"/>
    <w:rsid w:val="00A271EF"/>
    <w:rsid w:val="00A2790D"/>
    <w:rsid w:val="00A27A83"/>
    <w:rsid w:val="00A27D24"/>
    <w:rsid w:val="00A27E4F"/>
    <w:rsid w:val="00A27F9B"/>
    <w:rsid w:val="00A27FCF"/>
    <w:rsid w:val="00A30044"/>
    <w:rsid w:val="00A300A5"/>
    <w:rsid w:val="00A303E5"/>
    <w:rsid w:val="00A3058F"/>
    <w:rsid w:val="00A30687"/>
    <w:rsid w:val="00A306DE"/>
    <w:rsid w:val="00A30721"/>
    <w:rsid w:val="00A30A7A"/>
    <w:rsid w:val="00A30F4F"/>
    <w:rsid w:val="00A31350"/>
    <w:rsid w:val="00A314F9"/>
    <w:rsid w:val="00A31833"/>
    <w:rsid w:val="00A3193A"/>
    <w:rsid w:val="00A31AB6"/>
    <w:rsid w:val="00A31F97"/>
    <w:rsid w:val="00A32097"/>
    <w:rsid w:val="00A32823"/>
    <w:rsid w:val="00A33024"/>
    <w:rsid w:val="00A33405"/>
    <w:rsid w:val="00A33AEB"/>
    <w:rsid w:val="00A340A4"/>
    <w:rsid w:val="00A34934"/>
    <w:rsid w:val="00A34DFB"/>
    <w:rsid w:val="00A34EC8"/>
    <w:rsid w:val="00A34F1F"/>
    <w:rsid w:val="00A352A7"/>
    <w:rsid w:val="00A35352"/>
    <w:rsid w:val="00A356F8"/>
    <w:rsid w:val="00A35942"/>
    <w:rsid w:val="00A35BA2"/>
    <w:rsid w:val="00A35E5F"/>
    <w:rsid w:val="00A360FC"/>
    <w:rsid w:val="00A361C1"/>
    <w:rsid w:val="00A3620C"/>
    <w:rsid w:val="00A36375"/>
    <w:rsid w:val="00A366D2"/>
    <w:rsid w:val="00A369D8"/>
    <w:rsid w:val="00A36A4D"/>
    <w:rsid w:val="00A36CDE"/>
    <w:rsid w:val="00A36F47"/>
    <w:rsid w:val="00A36FF3"/>
    <w:rsid w:val="00A37FD7"/>
    <w:rsid w:val="00A400BC"/>
    <w:rsid w:val="00A40409"/>
    <w:rsid w:val="00A4057A"/>
    <w:rsid w:val="00A40CCF"/>
    <w:rsid w:val="00A40F95"/>
    <w:rsid w:val="00A414F1"/>
    <w:rsid w:val="00A418E9"/>
    <w:rsid w:val="00A42366"/>
    <w:rsid w:val="00A42BE8"/>
    <w:rsid w:val="00A4347B"/>
    <w:rsid w:val="00A434F8"/>
    <w:rsid w:val="00A435BF"/>
    <w:rsid w:val="00A43780"/>
    <w:rsid w:val="00A437AF"/>
    <w:rsid w:val="00A438B7"/>
    <w:rsid w:val="00A43D55"/>
    <w:rsid w:val="00A43D63"/>
    <w:rsid w:val="00A440A9"/>
    <w:rsid w:val="00A44828"/>
    <w:rsid w:val="00A44A33"/>
    <w:rsid w:val="00A44D01"/>
    <w:rsid w:val="00A44DD2"/>
    <w:rsid w:val="00A44F1D"/>
    <w:rsid w:val="00A450CF"/>
    <w:rsid w:val="00A45415"/>
    <w:rsid w:val="00A457B7"/>
    <w:rsid w:val="00A45FD3"/>
    <w:rsid w:val="00A4612C"/>
    <w:rsid w:val="00A46798"/>
    <w:rsid w:val="00A469E7"/>
    <w:rsid w:val="00A46B96"/>
    <w:rsid w:val="00A46CA4"/>
    <w:rsid w:val="00A4710D"/>
    <w:rsid w:val="00A478C0"/>
    <w:rsid w:val="00A47A46"/>
    <w:rsid w:val="00A47F53"/>
    <w:rsid w:val="00A50269"/>
    <w:rsid w:val="00A507FE"/>
    <w:rsid w:val="00A5083A"/>
    <w:rsid w:val="00A50B97"/>
    <w:rsid w:val="00A50DE5"/>
    <w:rsid w:val="00A50E23"/>
    <w:rsid w:val="00A50EC1"/>
    <w:rsid w:val="00A511F7"/>
    <w:rsid w:val="00A51283"/>
    <w:rsid w:val="00A5168F"/>
    <w:rsid w:val="00A51CCE"/>
    <w:rsid w:val="00A522B9"/>
    <w:rsid w:val="00A52697"/>
    <w:rsid w:val="00A52797"/>
    <w:rsid w:val="00A52FE9"/>
    <w:rsid w:val="00A535A0"/>
    <w:rsid w:val="00A535D2"/>
    <w:rsid w:val="00A537CB"/>
    <w:rsid w:val="00A53F43"/>
    <w:rsid w:val="00A54034"/>
    <w:rsid w:val="00A54331"/>
    <w:rsid w:val="00A5444B"/>
    <w:rsid w:val="00A54859"/>
    <w:rsid w:val="00A54D2E"/>
    <w:rsid w:val="00A550F8"/>
    <w:rsid w:val="00A55443"/>
    <w:rsid w:val="00A558AE"/>
    <w:rsid w:val="00A55DFD"/>
    <w:rsid w:val="00A567C8"/>
    <w:rsid w:val="00A56B99"/>
    <w:rsid w:val="00A56BB6"/>
    <w:rsid w:val="00A579CE"/>
    <w:rsid w:val="00A579E8"/>
    <w:rsid w:val="00A57A94"/>
    <w:rsid w:val="00A57ACD"/>
    <w:rsid w:val="00A57B10"/>
    <w:rsid w:val="00A57F5D"/>
    <w:rsid w:val="00A601FD"/>
    <w:rsid w:val="00A60537"/>
    <w:rsid w:val="00A6054B"/>
    <w:rsid w:val="00A609F2"/>
    <w:rsid w:val="00A60BD4"/>
    <w:rsid w:val="00A610BA"/>
    <w:rsid w:val="00A61324"/>
    <w:rsid w:val="00A6167D"/>
    <w:rsid w:val="00A61984"/>
    <w:rsid w:val="00A620C2"/>
    <w:rsid w:val="00A62176"/>
    <w:rsid w:val="00A62255"/>
    <w:rsid w:val="00A62A79"/>
    <w:rsid w:val="00A62D5A"/>
    <w:rsid w:val="00A62E04"/>
    <w:rsid w:val="00A6301A"/>
    <w:rsid w:val="00A6309B"/>
    <w:rsid w:val="00A6318C"/>
    <w:rsid w:val="00A63648"/>
    <w:rsid w:val="00A637D1"/>
    <w:rsid w:val="00A639DA"/>
    <w:rsid w:val="00A63AA2"/>
    <w:rsid w:val="00A63C44"/>
    <w:rsid w:val="00A64175"/>
    <w:rsid w:val="00A64479"/>
    <w:rsid w:val="00A64799"/>
    <w:rsid w:val="00A65806"/>
    <w:rsid w:val="00A6586E"/>
    <w:rsid w:val="00A6588F"/>
    <w:rsid w:val="00A65A1D"/>
    <w:rsid w:val="00A65AA8"/>
    <w:rsid w:val="00A6605A"/>
    <w:rsid w:val="00A6648E"/>
    <w:rsid w:val="00A66639"/>
    <w:rsid w:val="00A66AEC"/>
    <w:rsid w:val="00A66CBD"/>
    <w:rsid w:val="00A66F6E"/>
    <w:rsid w:val="00A67092"/>
    <w:rsid w:val="00A672CC"/>
    <w:rsid w:val="00A6749B"/>
    <w:rsid w:val="00A67564"/>
    <w:rsid w:val="00A67B06"/>
    <w:rsid w:val="00A67E83"/>
    <w:rsid w:val="00A7024F"/>
    <w:rsid w:val="00A70254"/>
    <w:rsid w:val="00A7030B"/>
    <w:rsid w:val="00A70358"/>
    <w:rsid w:val="00A704C6"/>
    <w:rsid w:val="00A70666"/>
    <w:rsid w:val="00A70C81"/>
    <w:rsid w:val="00A70CF6"/>
    <w:rsid w:val="00A70D68"/>
    <w:rsid w:val="00A70E18"/>
    <w:rsid w:val="00A70EFD"/>
    <w:rsid w:val="00A713A9"/>
    <w:rsid w:val="00A71504"/>
    <w:rsid w:val="00A7182A"/>
    <w:rsid w:val="00A71B59"/>
    <w:rsid w:val="00A71C94"/>
    <w:rsid w:val="00A71EE8"/>
    <w:rsid w:val="00A72243"/>
    <w:rsid w:val="00A7243D"/>
    <w:rsid w:val="00A72914"/>
    <w:rsid w:val="00A72B29"/>
    <w:rsid w:val="00A72B6E"/>
    <w:rsid w:val="00A72F54"/>
    <w:rsid w:val="00A72F93"/>
    <w:rsid w:val="00A732C0"/>
    <w:rsid w:val="00A73436"/>
    <w:rsid w:val="00A73619"/>
    <w:rsid w:val="00A73926"/>
    <w:rsid w:val="00A73C23"/>
    <w:rsid w:val="00A741D0"/>
    <w:rsid w:val="00A7449A"/>
    <w:rsid w:val="00A74577"/>
    <w:rsid w:val="00A7495B"/>
    <w:rsid w:val="00A74ADB"/>
    <w:rsid w:val="00A74D61"/>
    <w:rsid w:val="00A74E53"/>
    <w:rsid w:val="00A7506D"/>
    <w:rsid w:val="00A75714"/>
    <w:rsid w:val="00A75858"/>
    <w:rsid w:val="00A759E6"/>
    <w:rsid w:val="00A76469"/>
    <w:rsid w:val="00A76610"/>
    <w:rsid w:val="00A76637"/>
    <w:rsid w:val="00A767CF"/>
    <w:rsid w:val="00A76978"/>
    <w:rsid w:val="00A76B5C"/>
    <w:rsid w:val="00A76F52"/>
    <w:rsid w:val="00A7710C"/>
    <w:rsid w:val="00A77187"/>
    <w:rsid w:val="00A7734B"/>
    <w:rsid w:val="00A77853"/>
    <w:rsid w:val="00A77C09"/>
    <w:rsid w:val="00A77FE1"/>
    <w:rsid w:val="00A80177"/>
    <w:rsid w:val="00A80450"/>
    <w:rsid w:val="00A80872"/>
    <w:rsid w:val="00A80B5E"/>
    <w:rsid w:val="00A80BDE"/>
    <w:rsid w:val="00A80C18"/>
    <w:rsid w:val="00A80E1E"/>
    <w:rsid w:val="00A81215"/>
    <w:rsid w:val="00A815FE"/>
    <w:rsid w:val="00A816B6"/>
    <w:rsid w:val="00A817BC"/>
    <w:rsid w:val="00A817DF"/>
    <w:rsid w:val="00A817EC"/>
    <w:rsid w:val="00A81C81"/>
    <w:rsid w:val="00A81D08"/>
    <w:rsid w:val="00A81F55"/>
    <w:rsid w:val="00A82053"/>
    <w:rsid w:val="00A821E3"/>
    <w:rsid w:val="00A8233A"/>
    <w:rsid w:val="00A82473"/>
    <w:rsid w:val="00A82727"/>
    <w:rsid w:val="00A82CF4"/>
    <w:rsid w:val="00A83520"/>
    <w:rsid w:val="00A8381E"/>
    <w:rsid w:val="00A838FE"/>
    <w:rsid w:val="00A83A3D"/>
    <w:rsid w:val="00A83B90"/>
    <w:rsid w:val="00A83D13"/>
    <w:rsid w:val="00A83E8F"/>
    <w:rsid w:val="00A83EEC"/>
    <w:rsid w:val="00A846CF"/>
    <w:rsid w:val="00A84939"/>
    <w:rsid w:val="00A8495F"/>
    <w:rsid w:val="00A84FA4"/>
    <w:rsid w:val="00A85001"/>
    <w:rsid w:val="00A85A3B"/>
    <w:rsid w:val="00A85AA1"/>
    <w:rsid w:val="00A85D84"/>
    <w:rsid w:val="00A85E9F"/>
    <w:rsid w:val="00A8647E"/>
    <w:rsid w:val="00A866C3"/>
    <w:rsid w:val="00A867DF"/>
    <w:rsid w:val="00A86A22"/>
    <w:rsid w:val="00A86B6E"/>
    <w:rsid w:val="00A86FFF"/>
    <w:rsid w:val="00A87013"/>
    <w:rsid w:val="00A87134"/>
    <w:rsid w:val="00A87374"/>
    <w:rsid w:val="00A873B7"/>
    <w:rsid w:val="00A876A4"/>
    <w:rsid w:val="00A87A3D"/>
    <w:rsid w:val="00A87DCE"/>
    <w:rsid w:val="00A87DE0"/>
    <w:rsid w:val="00A900EB"/>
    <w:rsid w:val="00A90173"/>
    <w:rsid w:val="00A9057F"/>
    <w:rsid w:val="00A90DE3"/>
    <w:rsid w:val="00A91D6C"/>
    <w:rsid w:val="00A9200A"/>
    <w:rsid w:val="00A920B8"/>
    <w:rsid w:val="00A92143"/>
    <w:rsid w:val="00A92653"/>
    <w:rsid w:val="00A933F1"/>
    <w:rsid w:val="00A93C0C"/>
    <w:rsid w:val="00A93C5E"/>
    <w:rsid w:val="00A93C60"/>
    <w:rsid w:val="00A9408E"/>
    <w:rsid w:val="00A94226"/>
    <w:rsid w:val="00A942C7"/>
    <w:rsid w:val="00A94461"/>
    <w:rsid w:val="00A94585"/>
    <w:rsid w:val="00A94B57"/>
    <w:rsid w:val="00A951AF"/>
    <w:rsid w:val="00A951D3"/>
    <w:rsid w:val="00A95258"/>
    <w:rsid w:val="00A95491"/>
    <w:rsid w:val="00A95681"/>
    <w:rsid w:val="00A9642E"/>
    <w:rsid w:val="00A968CC"/>
    <w:rsid w:val="00A96EF8"/>
    <w:rsid w:val="00A974DA"/>
    <w:rsid w:val="00A97787"/>
    <w:rsid w:val="00A97D0C"/>
    <w:rsid w:val="00A97E25"/>
    <w:rsid w:val="00AA004F"/>
    <w:rsid w:val="00AA007D"/>
    <w:rsid w:val="00AA0960"/>
    <w:rsid w:val="00AA0A2E"/>
    <w:rsid w:val="00AA0C6C"/>
    <w:rsid w:val="00AA0DBC"/>
    <w:rsid w:val="00AA1119"/>
    <w:rsid w:val="00AA12E2"/>
    <w:rsid w:val="00AA1754"/>
    <w:rsid w:val="00AA1994"/>
    <w:rsid w:val="00AA19B4"/>
    <w:rsid w:val="00AA1B32"/>
    <w:rsid w:val="00AA1C24"/>
    <w:rsid w:val="00AA1EE2"/>
    <w:rsid w:val="00AA215E"/>
    <w:rsid w:val="00AA217D"/>
    <w:rsid w:val="00AA2693"/>
    <w:rsid w:val="00AA2B2A"/>
    <w:rsid w:val="00AA2D75"/>
    <w:rsid w:val="00AA2DB9"/>
    <w:rsid w:val="00AA3397"/>
    <w:rsid w:val="00AA3BEE"/>
    <w:rsid w:val="00AA3C1A"/>
    <w:rsid w:val="00AA3CAC"/>
    <w:rsid w:val="00AA49C2"/>
    <w:rsid w:val="00AA52B0"/>
    <w:rsid w:val="00AA52BC"/>
    <w:rsid w:val="00AA53F3"/>
    <w:rsid w:val="00AA58B4"/>
    <w:rsid w:val="00AA6042"/>
    <w:rsid w:val="00AA60B2"/>
    <w:rsid w:val="00AA63A9"/>
    <w:rsid w:val="00AA6436"/>
    <w:rsid w:val="00AA6466"/>
    <w:rsid w:val="00AA6AE6"/>
    <w:rsid w:val="00AA6DA7"/>
    <w:rsid w:val="00AA7181"/>
    <w:rsid w:val="00AA7586"/>
    <w:rsid w:val="00AA75FF"/>
    <w:rsid w:val="00AA78D3"/>
    <w:rsid w:val="00AA7AE5"/>
    <w:rsid w:val="00AB00ED"/>
    <w:rsid w:val="00AB01D9"/>
    <w:rsid w:val="00AB02E7"/>
    <w:rsid w:val="00AB030F"/>
    <w:rsid w:val="00AB04A6"/>
    <w:rsid w:val="00AB04C7"/>
    <w:rsid w:val="00AB0759"/>
    <w:rsid w:val="00AB0BD9"/>
    <w:rsid w:val="00AB1300"/>
    <w:rsid w:val="00AB170D"/>
    <w:rsid w:val="00AB1DC7"/>
    <w:rsid w:val="00AB225B"/>
    <w:rsid w:val="00AB25EE"/>
    <w:rsid w:val="00AB286C"/>
    <w:rsid w:val="00AB39DA"/>
    <w:rsid w:val="00AB3ACA"/>
    <w:rsid w:val="00AB4439"/>
    <w:rsid w:val="00AB48E4"/>
    <w:rsid w:val="00AB4CEA"/>
    <w:rsid w:val="00AB4E3C"/>
    <w:rsid w:val="00AB599C"/>
    <w:rsid w:val="00AB5ADB"/>
    <w:rsid w:val="00AB663D"/>
    <w:rsid w:val="00AB6ECD"/>
    <w:rsid w:val="00AB6F98"/>
    <w:rsid w:val="00AB702F"/>
    <w:rsid w:val="00AB73F0"/>
    <w:rsid w:val="00AB7A72"/>
    <w:rsid w:val="00AB7DDE"/>
    <w:rsid w:val="00AB7E6F"/>
    <w:rsid w:val="00AB7F68"/>
    <w:rsid w:val="00AC01F9"/>
    <w:rsid w:val="00AC077D"/>
    <w:rsid w:val="00AC0860"/>
    <w:rsid w:val="00AC09E5"/>
    <w:rsid w:val="00AC0E18"/>
    <w:rsid w:val="00AC0E59"/>
    <w:rsid w:val="00AC0F7F"/>
    <w:rsid w:val="00AC108C"/>
    <w:rsid w:val="00AC136A"/>
    <w:rsid w:val="00AC13FB"/>
    <w:rsid w:val="00AC1742"/>
    <w:rsid w:val="00AC208D"/>
    <w:rsid w:val="00AC22B6"/>
    <w:rsid w:val="00AC2F0A"/>
    <w:rsid w:val="00AC315B"/>
    <w:rsid w:val="00AC32E8"/>
    <w:rsid w:val="00AC3501"/>
    <w:rsid w:val="00AC371A"/>
    <w:rsid w:val="00AC3AA3"/>
    <w:rsid w:val="00AC3B11"/>
    <w:rsid w:val="00AC3BDB"/>
    <w:rsid w:val="00AC407D"/>
    <w:rsid w:val="00AC4F5A"/>
    <w:rsid w:val="00AC52FC"/>
    <w:rsid w:val="00AC54F7"/>
    <w:rsid w:val="00AC555B"/>
    <w:rsid w:val="00AC5691"/>
    <w:rsid w:val="00AC5884"/>
    <w:rsid w:val="00AC5E7C"/>
    <w:rsid w:val="00AC6127"/>
    <w:rsid w:val="00AC62D6"/>
    <w:rsid w:val="00AC6409"/>
    <w:rsid w:val="00AC6573"/>
    <w:rsid w:val="00AC65EF"/>
    <w:rsid w:val="00AC6A1A"/>
    <w:rsid w:val="00AC6CB9"/>
    <w:rsid w:val="00AC6E67"/>
    <w:rsid w:val="00AC70DF"/>
    <w:rsid w:val="00AC7288"/>
    <w:rsid w:val="00AC7644"/>
    <w:rsid w:val="00AC7ADD"/>
    <w:rsid w:val="00AC7B08"/>
    <w:rsid w:val="00AC7B6C"/>
    <w:rsid w:val="00AC7E66"/>
    <w:rsid w:val="00AC7EC2"/>
    <w:rsid w:val="00AC7F81"/>
    <w:rsid w:val="00AD00CE"/>
    <w:rsid w:val="00AD04CD"/>
    <w:rsid w:val="00AD04E4"/>
    <w:rsid w:val="00AD0527"/>
    <w:rsid w:val="00AD09A4"/>
    <w:rsid w:val="00AD0A3A"/>
    <w:rsid w:val="00AD0A90"/>
    <w:rsid w:val="00AD0D3D"/>
    <w:rsid w:val="00AD12FB"/>
    <w:rsid w:val="00AD1342"/>
    <w:rsid w:val="00AD220E"/>
    <w:rsid w:val="00AD2220"/>
    <w:rsid w:val="00AD22DF"/>
    <w:rsid w:val="00AD247E"/>
    <w:rsid w:val="00AD2764"/>
    <w:rsid w:val="00AD28D0"/>
    <w:rsid w:val="00AD2AB5"/>
    <w:rsid w:val="00AD2AC4"/>
    <w:rsid w:val="00AD322E"/>
    <w:rsid w:val="00AD34E4"/>
    <w:rsid w:val="00AD364C"/>
    <w:rsid w:val="00AD3832"/>
    <w:rsid w:val="00AD3D8C"/>
    <w:rsid w:val="00AD3EF6"/>
    <w:rsid w:val="00AD450A"/>
    <w:rsid w:val="00AD494D"/>
    <w:rsid w:val="00AD535F"/>
    <w:rsid w:val="00AD5449"/>
    <w:rsid w:val="00AD5A34"/>
    <w:rsid w:val="00AD60C8"/>
    <w:rsid w:val="00AD6204"/>
    <w:rsid w:val="00AD6344"/>
    <w:rsid w:val="00AD6786"/>
    <w:rsid w:val="00AD6CDB"/>
    <w:rsid w:val="00AD6DCE"/>
    <w:rsid w:val="00AD7182"/>
    <w:rsid w:val="00AE03DE"/>
    <w:rsid w:val="00AE09DB"/>
    <w:rsid w:val="00AE0A3D"/>
    <w:rsid w:val="00AE0B0B"/>
    <w:rsid w:val="00AE0B51"/>
    <w:rsid w:val="00AE0BCA"/>
    <w:rsid w:val="00AE0BFD"/>
    <w:rsid w:val="00AE0CEC"/>
    <w:rsid w:val="00AE12DE"/>
    <w:rsid w:val="00AE1734"/>
    <w:rsid w:val="00AE1880"/>
    <w:rsid w:val="00AE1A03"/>
    <w:rsid w:val="00AE1C32"/>
    <w:rsid w:val="00AE1EF0"/>
    <w:rsid w:val="00AE25C8"/>
    <w:rsid w:val="00AE26CC"/>
    <w:rsid w:val="00AE2F0A"/>
    <w:rsid w:val="00AE3154"/>
    <w:rsid w:val="00AE34A1"/>
    <w:rsid w:val="00AE34A3"/>
    <w:rsid w:val="00AE3A7F"/>
    <w:rsid w:val="00AE3D7C"/>
    <w:rsid w:val="00AE42D8"/>
    <w:rsid w:val="00AE44DD"/>
    <w:rsid w:val="00AE48D9"/>
    <w:rsid w:val="00AE4A3F"/>
    <w:rsid w:val="00AE5488"/>
    <w:rsid w:val="00AE55F4"/>
    <w:rsid w:val="00AE5775"/>
    <w:rsid w:val="00AE614A"/>
    <w:rsid w:val="00AE654D"/>
    <w:rsid w:val="00AE668B"/>
    <w:rsid w:val="00AE75F3"/>
    <w:rsid w:val="00AE77FE"/>
    <w:rsid w:val="00AE788C"/>
    <w:rsid w:val="00AE796A"/>
    <w:rsid w:val="00AE7B4C"/>
    <w:rsid w:val="00AE7BC7"/>
    <w:rsid w:val="00AF09EB"/>
    <w:rsid w:val="00AF0A74"/>
    <w:rsid w:val="00AF0DBA"/>
    <w:rsid w:val="00AF0FD1"/>
    <w:rsid w:val="00AF121E"/>
    <w:rsid w:val="00AF146A"/>
    <w:rsid w:val="00AF1CE3"/>
    <w:rsid w:val="00AF1DC4"/>
    <w:rsid w:val="00AF1F4C"/>
    <w:rsid w:val="00AF2873"/>
    <w:rsid w:val="00AF28FC"/>
    <w:rsid w:val="00AF3202"/>
    <w:rsid w:val="00AF3330"/>
    <w:rsid w:val="00AF3358"/>
    <w:rsid w:val="00AF3429"/>
    <w:rsid w:val="00AF4053"/>
    <w:rsid w:val="00AF41DB"/>
    <w:rsid w:val="00AF454C"/>
    <w:rsid w:val="00AF4727"/>
    <w:rsid w:val="00AF4774"/>
    <w:rsid w:val="00AF534D"/>
    <w:rsid w:val="00AF5429"/>
    <w:rsid w:val="00AF553B"/>
    <w:rsid w:val="00AF5A16"/>
    <w:rsid w:val="00AF5D36"/>
    <w:rsid w:val="00AF5E5E"/>
    <w:rsid w:val="00AF62AC"/>
    <w:rsid w:val="00AF62FE"/>
    <w:rsid w:val="00AF6869"/>
    <w:rsid w:val="00AF6887"/>
    <w:rsid w:val="00AF6A17"/>
    <w:rsid w:val="00AF6C41"/>
    <w:rsid w:val="00AF70EE"/>
    <w:rsid w:val="00AF71C6"/>
    <w:rsid w:val="00AF7408"/>
    <w:rsid w:val="00AF760C"/>
    <w:rsid w:val="00AF7BE1"/>
    <w:rsid w:val="00AF7F3A"/>
    <w:rsid w:val="00B00061"/>
    <w:rsid w:val="00B009BB"/>
    <w:rsid w:val="00B00E12"/>
    <w:rsid w:val="00B00EC4"/>
    <w:rsid w:val="00B01150"/>
    <w:rsid w:val="00B011E1"/>
    <w:rsid w:val="00B011F9"/>
    <w:rsid w:val="00B01409"/>
    <w:rsid w:val="00B01551"/>
    <w:rsid w:val="00B015FC"/>
    <w:rsid w:val="00B018B4"/>
    <w:rsid w:val="00B01B22"/>
    <w:rsid w:val="00B01C58"/>
    <w:rsid w:val="00B0251E"/>
    <w:rsid w:val="00B02524"/>
    <w:rsid w:val="00B026C6"/>
    <w:rsid w:val="00B028E1"/>
    <w:rsid w:val="00B02BC2"/>
    <w:rsid w:val="00B02EA4"/>
    <w:rsid w:val="00B030E3"/>
    <w:rsid w:val="00B03317"/>
    <w:rsid w:val="00B03451"/>
    <w:rsid w:val="00B04554"/>
    <w:rsid w:val="00B04691"/>
    <w:rsid w:val="00B0471F"/>
    <w:rsid w:val="00B04D6B"/>
    <w:rsid w:val="00B04D82"/>
    <w:rsid w:val="00B0512D"/>
    <w:rsid w:val="00B05216"/>
    <w:rsid w:val="00B05553"/>
    <w:rsid w:val="00B05E43"/>
    <w:rsid w:val="00B05E6D"/>
    <w:rsid w:val="00B060EA"/>
    <w:rsid w:val="00B06137"/>
    <w:rsid w:val="00B065C4"/>
    <w:rsid w:val="00B069CF"/>
    <w:rsid w:val="00B06A73"/>
    <w:rsid w:val="00B071BC"/>
    <w:rsid w:val="00B073C6"/>
    <w:rsid w:val="00B073D5"/>
    <w:rsid w:val="00B07597"/>
    <w:rsid w:val="00B077BB"/>
    <w:rsid w:val="00B07816"/>
    <w:rsid w:val="00B07C18"/>
    <w:rsid w:val="00B10137"/>
    <w:rsid w:val="00B10211"/>
    <w:rsid w:val="00B104A0"/>
    <w:rsid w:val="00B1056B"/>
    <w:rsid w:val="00B1086D"/>
    <w:rsid w:val="00B10B3F"/>
    <w:rsid w:val="00B1132C"/>
    <w:rsid w:val="00B1171B"/>
    <w:rsid w:val="00B11CB8"/>
    <w:rsid w:val="00B12091"/>
    <w:rsid w:val="00B122B8"/>
    <w:rsid w:val="00B125BB"/>
    <w:rsid w:val="00B126E4"/>
    <w:rsid w:val="00B12B3D"/>
    <w:rsid w:val="00B12E12"/>
    <w:rsid w:val="00B13307"/>
    <w:rsid w:val="00B1336A"/>
    <w:rsid w:val="00B133CC"/>
    <w:rsid w:val="00B13822"/>
    <w:rsid w:val="00B13935"/>
    <w:rsid w:val="00B13A61"/>
    <w:rsid w:val="00B13E4E"/>
    <w:rsid w:val="00B147AF"/>
    <w:rsid w:val="00B14AC5"/>
    <w:rsid w:val="00B14C05"/>
    <w:rsid w:val="00B14C8F"/>
    <w:rsid w:val="00B14F61"/>
    <w:rsid w:val="00B1592B"/>
    <w:rsid w:val="00B15F5A"/>
    <w:rsid w:val="00B15F67"/>
    <w:rsid w:val="00B160FF"/>
    <w:rsid w:val="00B16486"/>
    <w:rsid w:val="00B164D1"/>
    <w:rsid w:val="00B16917"/>
    <w:rsid w:val="00B16924"/>
    <w:rsid w:val="00B16AEE"/>
    <w:rsid w:val="00B16B03"/>
    <w:rsid w:val="00B16C90"/>
    <w:rsid w:val="00B17145"/>
    <w:rsid w:val="00B1723B"/>
    <w:rsid w:val="00B1731D"/>
    <w:rsid w:val="00B17377"/>
    <w:rsid w:val="00B17410"/>
    <w:rsid w:val="00B20819"/>
    <w:rsid w:val="00B20852"/>
    <w:rsid w:val="00B20A63"/>
    <w:rsid w:val="00B20CD5"/>
    <w:rsid w:val="00B20D60"/>
    <w:rsid w:val="00B20EDB"/>
    <w:rsid w:val="00B21110"/>
    <w:rsid w:val="00B2137F"/>
    <w:rsid w:val="00B2139E"/>
    <w:rsid w:val="00B215EC"/>
    <w:rsid w:val="00B21605"/>
    <w:rsid w:val="00B2178E"/>
    <w:rsid w:val="00B217B8"/>
    <w:rsid w:val="00B2216E"/>
    <w:rsid w:val="00B22212"/>
    <w:rsid w:val="00B226BE"/>
    <w:rsid w:val="00B22A04"/>
    <w:rsid w:val="00B22F20"/>
    <w:rsid w:val="00B23C6D"/>
    <w:rsid w:val="00B23FAB"/>
    <w:rsid w:val="00B240AD"/>
    <w:rsid w:val="00B24ACD"/>
    <w:rsid w:val="00B24BB7"/>
    <w:rsid w:val="00B24BE1"/>
    <w:rsid w:val="00B24DFB"/>
    <w:rsid w:val="00B2527C"/>
    <w:rsid w:val="00B25379"/>
    <w:rsid w:val="00B25467"/>
    <w:rsid w:val="00B2552B"/>
    <w:rsid w:val="00B25EB9"/>
    <w:rsid w:val="00B25F0D"/>
    <w:rsid w:val="00B2637F"/>
    <w:rsid w:val="00B2639B"/>
    <w:rsid w:val="00B26510"/>
    <w:rsid w:val="00B26573"/>
    <w:rsid w:val="00B26AAD"/>
    <w:rsid w:val="00B26AE1"/>
    <w:rsid w:val="00B26BF6"/>
    <w:rsid w:val="00B26BF9"/>
    <w:rsid w:val="00B26E3A"/>
    <w:rsid w:val="00B27A1D"/>
    <w:rsid w:val="00B3008A"/>
    <w:rsid w:val="00B30242"/>
    <w:rsid w:val="00B302D6"/>
    <w:rsid w:val="00B3030D"/>
    <w:rsid w:val="00B30A15"/>
    <w:rsid w:val="00B3102D"/>
    <w:rsid w:val="00B312A4"/>
    <w:rsid w:val="00B31721"/>
    <w:rsid w:val="00B323B1"/>
    <w:rsid w:val="00B32408"/>
    <w:rsid w:val="00B328C3"/>
    <w:rsid w:val="00B331B5"/>
    <w:rsid w:val="00B33681"/>
    <w:rsid w:val="00B336CE"/>
    <w:rsid w:val="00B33A1F"/>
    <w:rsid w:val="00B33A8F"/>
    <w:rsid w:val="00B33AF4"/>
    <w:rsid w:val="00B33BAE"/>
    <w:rsid w:val="00B33BAF"/>
    <w:rsid w:val="00B33D58"/>
    <w:rsid w:val="00B34713"/>
    <w:rsid w:val="00B34C4A"/>
    <w:rsid w:val="00B355C4"/>
    <w:rsid w:val="00B358C6"/>
    <w:rsid w:val="00B358F7"/>
    <w:rsid w:val="00B362D2"/>
    <w:rsid w:val="00B36798"/>
    <w:rsid w:val="00B36864"/>
    <w:rsid w:val="00B36BC8"/>
    <w:rsid w:val="00B36C6B"/>
    <w:rsid w:val="00B36F33"/>
    <w:rsid w:val="00B36FA4"/>
    <w:rsid w:val="00B37167"/>
    <w:rsid w:val="00B37304"/>
    <w:rsid w:val="00B373A6"/>
    <w:rsid w:val="00B37E2A"/>
    <w:rsid w:val="00B4096B"/>
    <w:rsid w:val="00B409E8"/>
    <w:rsid w:val="00B40AC4"/>
    <w:rsid w:val="00B40E60"/>
    <w:rsid w:val="00B40E8A"/>
    <w:rsid w:val="00B40EA5"/>
    <w:rsid w:val="00B414B1"/>
    <w:rsid w:val="00B41610"/>
    <w:rsid w:val="00B416E4"/>
    <w:rsid w:val="00B41905"/>
    <w:rsid w:val="00B41E3F"/>
    <w:rsid w:val="00B42BE4"/>
    <w:rsid w:val="00B42C25"/>
    <w:rsid w:val="00B42DDA"/>
    <w:rsid w:val="00B42DF3"/>
    <w:rsid w:val="00B42EA5"/>
    <w:rsid w:val="00B42EF8"/>
    <w:rsid w:val="00B432C8"/>
    <w:rsid w:val="00B4378C"/>
    <w:rsid w:val="00B43DA4"/>
    <w:rsid w:val="00B43EA0"/>
    <w:rsid w:val="00B4406E"/>
    <w:rsid w:val="00B44358"/>
    <w:rsid w:val="00B446E8"/>
    <w:rsid w:val="00B44C10"/>
    <w:rsid w:val="00B450F9"/>
    <w:rsid w:val="00B45167"/>
    <w:rsid w:val="00B45666"/>
    <w:rsid w:val="00B45A09"/>
    <w:rsid w:val="00B45C79"/>
    <w:rsid w:val="00B460EC"/>
    <w:rsid w:val="00B461C2"/>
    <w:rsid w:val="00B46386"/>
    <w:rsid w:val="00B467B1"/>
    <w:rsid w:val="00B468C3"/>
    <w:rsid w:val="00B46DE9"/>
    <w:rsid w:val="00B46E13"/>
    <w:rsid w:val="00B47314"/>
    <w:rsid w:val="00B47316"/>
    <w:rsid w:val="00B474FD"/>
    <w:rsid w:val="00B47572"/>
    <w:rsid w:val="00B476F2"/>
    <w:rsid w:val="00B47852"/>
    <w:rsid w:val="00B47C49"/>
    <w:rsid w:val="00B47C5C"/>
    <w:rsid w:val="00B47D02"/>
    <w:rsid w:val="00B47FA3"/>
    <w:rsid w:val="00B5003C"/>
    <w:rsid w:val="00B5065B"/>
    <w:rsid w:val="00B50859"/>
    <w:rsid w:val="00B50C7C"/>
    <w:rsid w:val="00B511F3"/>
    <w:rsid w:val="00B5122A"/>
    <w:rsid w:val="00B514DD"/>
    <w:rsid w:val="00B5205C"/>
    <w:rsid w:val="00B521AD"/>
    <w:rsid w:val="00B52439"/>
    <w:rsid w:val="00B525E9"/>
    <w:rsid w:val="00B52894"/>
    <w:rsid w:val="00B52EE9"/>
    <w:rsid w:val="00B53073"/>
    <w:rsid w:val="00B530B1"/>
    <w:rsid w:val="00B535ED"/>
    <w:rsid w:val="00B536C5"/>
    <w:rsid w:val="00B53895"/>
    <w:rsid w:val="00B53E1A"/>
    <w:rsid w:val="00B53ED6"/>
    <w:rsid w:val="00B541E3"/>
    <w:rsid w:val="00B54385"/>
    <w:rsid w:val="00B54BB5"/>
    <w:rsid w:val="00B54C80"/>
    <w:rsid w:val="00B54E86"/>
    <w:rsid w:val="00B54ED7"/>
    <w:rsid w:val="00B54F9D"/>
    <w:rsid w:val="00B5584C"/>
    <w:rsid w:val="00B558DD"/>
    <w:rsid w:val="00B55902"/>
    <w:rsid w:val="00B55B92"/>
    <w:rsid w:val="00B56158"/>
    <w:rsid w:val="00B563FE"/>
    <w:rsid w:val="00B56F42"/>
    <w:rsid w:val="00B57CF4"/>
    <w:rsid w:val="00B60205"/>
    <w:rsid w:val="00B60817"/>
    <w:rsid w:val="00B60C42"/>
    <w:rsid w:val="00B60FE6"/>
    <w:rsid w:val="00B61658"/>
    <w:rsid w:val="00B617A4"/>
    <w:rsid w:val="00B61BB5"/>
    <w:rsid w:val="00B62376"/>
    <w:rsid w:val="00B623E6"/>
    <w:rsid w:val="00B626D9"/>
    <w:rsid w:val="00B62807"/>
    <w:rsid w:val="00B62AA4"/>
    <w:rsid w:val="00B62AE6"/>
    <w:rsid w:val="00B62B5E"/>
    <w:rsid w:val="00B62C4B"/>
    <w:rsid w:val="00B62C78"/>
    <w:rsid w:val="00B62F31"/>
    <w:rsid w:val="00B630B8"/>
    <w:rsid w:val="00B63227"/>
    <w:rsid w:val="00B63391"/>
    <w:rsid w:val="00B63648"/>
    <w:rsid w:val="00B63C5B"/>
    <w:rsid w:val="00B64BBF"/>
    <w:rsid w:val="00B651D7"/>
    <w:rsid w:val="00B65284"/>
    <w:rsid w:val="00B6537C"/>
    <w:rsid w:val="00B655B0"/>
    <w:rsid w:val="00B657DC"/>
    <w:rsid w:val="00B65BCD"/>
    <w:rsid w:val="00B66130"/>
    <w:rsid w:val="00B66340"/>
    <w:rsid w:val="00B6667D"/>
    <w:rsid w:val="00B66750"/>
    <w:rsid w:val="00B667E7"/>
    <w:rsid w:val="00B66F75"/>
    <w:rsid w:val="00B6704D"/>
    <w:rsid w:val="00B670AC"/>
    <w:rsid w:val="00B67246"/>
    <w:rsid w:val="00B678AB"/>
    <w:rsid w:val="00B67A65"/>
    <w:rsid w:val="00B67BCA"/>
    <w:rsid w:val="00B67F91"/>
    <w:rsid w:val="00B705D9"/>
    <w:rsid w:val="00B7082B"/>
    <w:rsid w:val="00B70916"/>
    <w:rsid w:val="00B70C11"/>
    <w:rsid w:val="00B70FBE"/>
    <w:rsid w:val="00B710AE"/>
    <w:rsid w:val="00B711C4"/>
    <w:rsid w:val="00B71739"/>
    <w:rsid w:val="00B717E5"/>
    <w:rsid w:val="00B717F0"/>
    <w:rsid w:val="00B71A44"/>
    <w:rsid w:val="00B71B40"/>
    <w:rsid w:val="00B71B41"/>
    <w:rsid w:val="00B71C5E"/>
    <w:rsid w:val="00B71DB9"/>
    <w:rsid w:val="00B720BA"/>
    <w:rsid w:val="00B72218"/>
    <w:rsid w:val="00B72455"/>
    <w:rsid w:val="00B72C7F"/>
    <w:rsid w:val="00B72E21"/>
    <w:rsid w:val="00B73180"/>
    <w:rsid w:val="00B7345D"/>
    <w:rsid w:val="00B73838"/>
    <w:rsid w:val="00B73839"/>
    <w:rsid w:val="00B73999"/>
    <w:rsid w:val="00B739FF"/>
    <w:rsid w:val="00B73DA3"/>
    <w:rsid w:val="00B73E56"/>
    <w:rsid w:val="00B73E65"/>
    <w:rsid w:val="00B7418C"/>
    <w:rsid w:val="00B743AF"/>
    <w:rsid w:val="00B74569"/>
    <w:rsid w:val="00B74CEC"/>
    <w:rsid w:val="00B74FE1"/>
    <w:rsid w:val="00B752F5"/>
    <w:rsid w:val="00B756CE"/>
    <w:rsid w:val="00B757F9"/>
    <w:rsid w:val="00B75A99"/>
    <w:rsid w:val="00B7670F"/>
    <w:rsid w:val="00B76711"/>
    <w:rsid w:val="00B769CA"/>
    <w:rsid w:val="00B77035"/>
    <w:rsid w:val="00B773F5"/>
    <w:rsid w:val="00B77F84"/>
    <w:rsid w:val="00B80322"/>
    <w:rsid w:val="00B8035B"/>
    <w:rsid w:val="00B8076B"/>
    <w:rsid w:val="00B80878"/>
    <w:rsid w:val="00B80D92"/>
    <w:rsid w:val="00B8103D"/>
    <w:rsid w:val="00B810B2"/>
    <w:rsid w:val="00B81352"/>
    <w:rsid w:val="00B81577"/>
    <w:rsid w:val="00B81D4B"/>
    <w:rsid w:val="00B8213D"/>
    <w:rsid w:val="00B8215D"/>
    <w:rsid w:val="00B82C82"/>
    <w:rsid w:val="00B82D5F"/>
    <w:rsid w:val="00B83247"/>
    <w:rsid w:val="00B83389"/>
    <w:rsid w:val="00B83886"/>
    <w:rsid w:val="00B83CC4"/>
    <w:rsid w:val="00B83F47"/>
    <w:rsid w:val="00B842C0"/>
    <w:rsid w:val="00B84403"/>
    <w:rsid w:val="00B848E0"/>
    <w:rsid w:val="00B84BB5"/>
    <w:rsid w:val="00B84CB1"/>
    <w:rsid w:val="00B85014"/>
    <w:rsid w:val="00B853E2"/>
    <w:rsid w:val="00B853FA"/>
    <w:rsid w:val="00B855EE"/>
    <w:rsid w:val="00B855F8"/>
    <w:rsid w:val="00B85785"/>
    <w:rsid w:val="00B85A29"/>
    <w:rsid w:val="00B85B7C"/>
    <w:rsid w:val="00B85F63"/>
    <w:rsid w:val="00B86130"/>
    <w:rsid w:val="00B86C45"/>
    <w:rsid w:val="00B87B47"/>
    <w:rsid w:val="00B87B74"/>
    <w:rsid w:val="00B90068"/>
    <w:rsid w:val="00B90B7F"/>
    <w:rsid w:val="00B90FAE"/>
    <w:rsid w:val="00B90FD5"/>
    <w:rsid w:val="00B91006"/>
    <w:rsid w:val="00B91331"/>
    <w:rsid w:val="00B9139C"/>
    <w:rsid w:val="00B91D0C"/>
    <w:rsid w:val="00B91D14"/>
    <w:rsid w:val="00B920A1"/>
    <w:rsid w:val="00B920A8"/>
    <w:rsid w:val="00B92AB1"/>
    <w:rsid w:val="00B93579"/>
    <w:rsid w:val="00B93759"/>
    <w:rsid w:val="00B93E79"/>
    <w:rsid w:val="00B93F78"/>
    <w:rsid w:val="00B94105"/>
    <w:rsid w:val="00B949D9"/>
    <w:rsid w:val="00B94BA4"/>
    <w:rsid w:val="00B94C28"/>
    <w:rsid w:val="00B94C71"/>
    <w:rsid w:val="00B94E18"/>
    <w:rsid w:val="00B950F2"/>
    <w:rsid w:val="00B951DE"/>
    <w:rsid w:val="00B953C1"/>
    <w:rsid w:val="00B956FA"/>
    <w:rsid w:val="00B95DE5"/>
    <w:rsid w:val="00B96345"/>
    <w:rsid w:val="00B963B4"/>
    <w:rsid w:val="00B96756"/>
    <w:rsid w:val="00B969D3"/>
    <w:rsid w:val="00B96AB3"/>
    <w:rsid w:val="00B96BC7"/>
    <w:rsid w:val="00B96C7C"/>
    <w:rsid w:val="00B96EFB"/>
    <w:rsid w:val="00B9719D"/>
    <w:rsid w:val="00B97438"/>
    <w:rsid w:val="00B97548"/>
    <w:rsid w:val="00B97C4E"/>
    <w:rsid w:val="00B97F14"/>
    <w:rsid w:val="00B97FC9"/>
    <w:rsid w:val="00BA030E"/>
    <w:rsid w:val="00BA0495"/>
    <w:rsid w:val="00BA04D6"/>
    <w:rsid w:val="00BA09BB"/>
    <w:rsid w:val="00BA0ABF"/>
    <w:rsid w:val="00BA0B7F"/>
    <w:rsid w:val="00BA0E1C"/>
    <w:rsid w:val="00BA124B"/>
    <w:rsid w:val="00BA127C"/>
    <w:rsid w:val="00BA15AB"/>
    <w:rsid w:val="00BA169E"/>
    <w:rsid w:val="00BA181C"/>
    <w:rsid w:val="00BA1B61"/>
    <w:rsid w:val="00BA1B91"/>
    <w:rsid w:val="00BA1D61"/>
    <w:rsid w:val="00BA2020"/>
    <w:rsid w:val="00BA216A"/>
    <w:rsid w:val="00BA2198"/>
    <w:rsid w:val="00BA246E"/>
    <w:rsid w:val="00BA2684"/>
    <w:rsid w:val="00BA2B4A"/>
    <w:rsid w:val="00BA2D94"/>
    <w:rsid w:val="00BA3000"/>
    <w:rsid w:val="00BA389F"/>
    <w:rsid w:val="00BA3ABC"/>
    <w:rsid w:val="00BA4623"/>
    <w:rsid w:val="00BA4777"/>
    <w:rsid w:val="00BA49F2"/>
    <w:rsid w:val="00BA5052"/>
    <w:rsid w:val="00BA514D"/>
    <w:rsid w:val="00BA562A"/>
    <w:rsid w:val="00BA56FE"/>
    <w:rsid w:val="00BA5CDC"/>
    <w:rsid w:val="00BA5EA8"/>
    <w:rsid w:val="00BA6101"/>
    <w:rsid w:val="00BA63DC"/>
    <w:rsid w:val="00BA6518"/>
    <w:rsid w:val="00BA67EA"/>
    <w:rsid w:val="00BA6A21"/>
    <w:rsid w:val="00BA711A"/>
    <w:rsid w:val="00BA71A3"/>
    <w:rsid w:val="00BA7580"/>
    <w:rsid w:val="00BA76B9"/>
    <w:rsid w:val="00BA77C8"/>
    <w:rsid w:val="00BA7903"/>
    <w:rsid w:val="00BA79A0"/>
    <w:rsid w:val="00BA7C8F"/>
    <w:rsid w:val="00BA7ED2"/>
    <w:rsid w:val="00BB047D"/>
    <w:rsid w:val="00BB1CE3"/>
    <w:rsid w:val="00BB1F8E"/>
    <w:rsid w:val="00BB200B"/>
    <w:rsid w:val="00BB200C"/>
    <w:rsid w:val="00BB2021"/>
    <w:rsid w:val="00BB245A"/>
    <w:rsid w:val="00BB253D"/>
    <w:rsid w:val="00BB259F"/>
    <w:rsid w:val="00BB28C0"/>
    <w:rsid w:val="00BB2B9A"/>
    <w:rsid w:val="00BB323F"/>
    <w:rsid w:val="00BB3506"/>
    <w:rsid w:val="00BB3A74"/>
    <w:rsid w:val="00BB3E6C"/>
    <w:rsid w:val="00BB41FD"/>
    <w:rsid w:val="00BB43FF"/>
    <w:rsid w:val="00BB440A"/>
    <w:rsid w:val="00BB46AC"/>
    <w:rsid w:val="00BB4765"/>
    <w:rsid w:val="00BB48AF"/>
    <w:rsid w:val="00BB4B21"/>
    <w:rsid w:val="00BB4C3B"/>
    <w:rsid w:val="00BB5839"/>
    <w:rsid w:val="00BB5CB1"/>
    <w:rsid w:val="00BB6299"/>
    <w:rsid w:val="00BB6432"/>
    <w:rsid w:val="00BB64E2"/>
    <w:rsid w:val="00BB6885"/>
    <w:rsid w:val="00BB6A6C"/>
    <w:rsid w:val="00BB6ACC"/>
    <w:rsid w:val="00BB6BD3"/>
    <w:rsid w:val="00BB6E04"/>
    <w:rsid w:val="00BB72B6"/>
    <w:rsid w:val="00BB74E6"/>
    <w:rsid w:val="00BB767B"/>
    <w:rsid w:val="00BB781C"/>
    <w:rsid w:val="00BB7B6F"/>
    <w:rsid w:val="00BC08A5"/>
    <w:rsid w:val="00BC0A48"/>
    <w:rsid w:val="00BC0E1F"/>
    <w:rsid w:val="00BC0F00"/>
    <w:rsid w:val="00BC0F30"/>
    <w:rsid w:val="00BC1358"/>
    <w:rsid w:val="00BC13CC"/>
    <w:rsid w:val="00BC1541"/>
    <w:rsid w:val="00BC16B5"/>
    <w:rsid w:val="00BC18CD"/>
    <w:rsid w:val="00BC1A22"/>
    <w:rsid w:val="00BC1A66"/>
    <w:rsid w:val="00BC228E"/>
    <w:rsid w:val="00BC261E"/>
    <w:rsid w:val="00BC2B01"/>
    <w:rsid w:val="00BC2C5A"/>
    <w:rsid w:val="00BC2C8F"/>
    <w:rsid w:val="00BC3341"/>
    <w:rsid w:val="00BC3468"/>
    <w:rsid w:val="00BC35D7"/>
    <w:rsid w:val="00BC35E4"/>
    <w:rsid w:val="00BC3AE5"/>
    <w:rsid w:val="00BC3B19"/>
    <w:rsid w:val="00BC3B80"/>
    <w:rsid w:val="00BC3B9E"/>
    <w:rsid w:val="00BC3E0A"/>
    <w:rsid w:val="00BC3F71"/>
    <w:rsid w:val="00BC4022"/>
    <w:rsid w:val="00BC4974"/>
    <w:rsid w:val="00BC4AD9"/>
    <w:rsid w:val="00BC4C46"/>
    <w:rsid w:val="00BC4D1E"/>
    <w:rsid w:val="00BC50D1"/>
    <w:rsid w:val="00BC5308"/>
    <w:rsid w:val="00BC55F7"/>
    <w:rsid w:val="00BC5601"/>
    <w:rsid w:val="00BC5682"/>
    <w:rsid w:val="00BC5F49"/>
    <w:rsid w:val="00BC601C"/>
    <w:rsid w:val="00BC6509"/>
    <w:rsid w:val="00BC6517"/>
    <w:rsid w:val="00BC6566"/>
    <w:rsid w:val="00BC6700"/>
    <w:rsid w:val="00BC6856"/>
    <w:rsid w:val="00BC69DC"/>
    <w:rsid w:val="00BC6C56"/>
    <w:rsid w:val="00BC6FBB"/>
    <w:rsid w:val="00BC7014"/>
    <w:rsid w:val="00BC71A0"/>
    <w:rsid w:val="00BC7C63"/>
    <w:rsid w:val="00BC7DDC"/>
    <w:rsid w:val="00BC7FAE"/>
    <w:rsid w:val="00BD0268"/>
    <w:rsid w:val="00BD0649"/>
    <w:rsid w:val="00BD083D"/>
    <w:rsid w:val="00BD0F3B"/>
    <w:rsid w:val="00BD118F"/>
    <w:rsid w:val="00BD1271"/>
    <w:rsid w:val="00BD179B"/>
    <w:rsid w:val="00BD2139"/>
    <w:rsid w:val="00BD2583"/>
    <w:rsid w:val="00BD26DB"/>
    <w:rsid w:val="00BD28CC"/>
    <w:rsid w:val="00BD2C51"/>
    <w:rsid w:val="00BD33E2"/>
    <w:rsid w:val="00BD3E0F"/>
    <w:rsid w:val="00BD4560"/>
    <w:rsid w:val="00BD4A0E"/>
    <w:rsid w:val="00BD4A57"/>
    <w:rsid w:val="00BD4BBD"/>
    <w:rsid w:val="00BD4C4F"/>
    <w:rsid w:val="00BD4E62"/>
    <w:rsid w:val="00BD5017"/>
    <w:rsid w:val="00BD5501"/>
    <w:rsid w:val="00BD5567"/>
    <w:rsid w:val="00BD59A5"/>
    <w:rsid w:val="00BD5CEF"/>
    <w:rsid w:val="00BD5EEA"/>
    <w:rsid w:val="00BD6616"/>
    <w:rsid w:val="00BD666F"/>
    <w:rsid w:val="00BD6DB6"/>
    <w:rsid w:val="00BD6EC5"/>
    <w:rsid w:val="00BD6F7D"/>
    <w:rsid w:val="00BD7498"/>
    <w:rsid w:val="00BD7B86"/>
    <w:rsid w:val="00BD7E29"/>
    <w:rsid w:val="00BD7FBF"/>
    <w:rsid w:val="00BE0406"/>
    <w:rsid w:val="00BE0986"/>
    <w:rsid w:val="00BE09A3"/>
    <w:rsid w:val="00BE1113"/>
    <w:rsid w:val="00BE1240"/>
    <w:rsid w:val="00BE1333"/>
    <w:rsid w:val="00BE1B3A"/>
    <w:rsid w:val="00BE1E6F"/>
    <w:rsid w:val="00BE1F45"/>
    <w:rsid w:val="00BE206E"/>
    <w:rsid w:val="00BE2281"/>
    <w:rsid w:val="00BE2AD3"/>
    <w:rsid w:val="00BE2E40"/>
    <w:rsid w:val="00BE2EB7"/>
    <w:rsid w:val="00BE3264"/>
    <w:rsid w:val="00BE36C8"/>
    <w:rsid w:val="00BE3B55"/>
    <w:rsid w:val="00BE3DE8"/>
    <w:rsid w:val="00BE4409"/>
    <w:rsid w:val="00BE4E03"/>
    <w:rsid w:val="00BE4E33"/>
    <w:rsid w:val="00BE4EA4"/>
    <w:rsid w:val="00BE528A"/>
    <w:rsid w:val="00BE594A"/>
    <w:rsid w:val="00BE62D3"/>
    <w:rsid w:val="00BE64AF"/>
    <w:rsid w:val="00BE64DC"/>
    <w:rsid w:val="00BE652C"/>
    <w:rsid w:val="00BE6701"/>
    <w:rsid w:val="00BE6757"/>
    <w:rsid w:val="00BE69B4"/>
    <w:rsid w:val="00BE7014"/>
    <w:rsid w:val="00BE7121"/>
    <w:rsid w:val="00BE7928"/>
    <w:rsid w:val="00BE7DF8"/>
    <w:rsid w:val="00BF006B"/>
    <w:rsid w:val="00BF0327"/>
    <w:rsid w:val="00BF073F"/>
    <w:rsid w:val="00BF0A4B"/>
    <w:rsid w:val="00BF0B53"/>
    <w:rsid w:val="00BF0F72"/>
    <w:rsid w:val="00BF15B0"/>
    <w:rsid w:val="00BF1969"/>
    <w:rsid w:val="00BF1CF2"/>
    <w:rsid w:val="00BF2204"/>
    <w:rsid w:val="00BF23B7"/>
    <w:rsid w:val="00BF28DA"/>
    <w:rsid w:val="00BF2C77"/>
    <w:rsid w:val="00BF2F54"/>
    <w:rsid w:val="00BF3204"/>
    <w:rsid w:val="00BF33B2"/>
    <w:rsid w:val="00BF342F"/>
    <w:rsid w:val="00BF3467"/>
    <w:rsid w:val="00BF3742"/>
    <w:rsid w:val="00BF3979"/>
    <w:rsid w:val="00BF3984"/>
    <w:rsid w:val="00BF3F75"/>
    <w:rsid w:val="00BF3FFA"/>
    <w:rsid w:val="00BF4102"/>
    <w:rsid w:val="00BF43C4"/>
    <w:rsid w:val="00BF4432"/>
    <w:rsid w:val="00BF4856"/>
    <w:rsid w:val="00BF500F"/>
    <w:rsid w:val="00BF51D4"/>
    <w:rsid w:val="00BF522E"/>
    <w:rsid w:val="00BF533A"/>
    <w:rsid w:val="00BF5504"/>
    <w:rsid w:val="00BF5515"/>
    <w:rsid w:val="00BF5614"/>
    <w:rsid w:val="00BF5E3D"/>
    <w:rsid w:val="00BF5FC3"/>
    <w:rsid w:val="00BF61D5"/>
    <w:rsid w:val="00BF6F35"/>
    <w:rsid w:val="00BF6FA9"/>
    <w:rsid w:val="00BF7185"/>
    <w:rsid w:val="00BF71A0"/>
    <w:rsid w:val="00BF7274"/>
    <w:rsid w:val="00BF72A4"/>
    <w:rsid w:val="00BF73F5"/>
    <w:rsid w:val="00BF758A"/>
    <w:rsid w:val="00BF75BC"/>
    <w:rsid w:val="00BF76F6"/>
    <w:rsid w:val="00BF7867"/>
    <w:rsid w:val="00BF7C04"/>
    <w:rsid w:val="00C00962"/>
    <w:rsid w:val="00C00BA4"/>
    <w:rsid w:val="00C0105B"/>
    <w:rsid w:val="00C0109A"/>
    <w:rsid w:val="00C0134F"/>
    <w:rsid w:val="00C017CC"/>
    <w:rsid w:val="00C01921"/>
    <w:rsid w:val="00C01C0F"/>
    <w:rsid w:val="00C01C4E"/>
    <w:rsid w:val="00C01D30"/>
    <w:rsid w:val="00C023B9"/>
    <w:rsid w:val="00C023FD"/>
    <w:rsid w:val="00C02556"/>
    <w:rsid w:val="00C02652"/>
    <w:rsid w:val="00C02EAE"/>
    <w:rsid w:val="00C0369A"/>
    <w:rsid w:val="00C03A1C"/>
    <w:rsid w:val="00C03E84"/>
    <w:rsid w:val="00C043ED"/>
    <w:rsid w:val="00C045B7"/>
    <w:rsid w:val="00C04A95"/>
    <w:rsid w:val="00C04C52"/>
    <w:rsid w:val="00C051B0"/>
    <w:rsid w:val="00C0568E"/>
    <w:rsid w:val="00C057D5"/>
    <w:rsid w:val="00C05A69"/>
    <w:rsid w:val="00C05AFF"/>
    <w:rsid w:val="00C05B8E"/>
    <w:rsid w:val="00C05D7A"/>
    <w:rsid w:val="00C05D7D"/>
    <w:rsid w:val="00C05F76"/>
    <w:rsid w:val="00C060DC"/>
    <w:rsid w:val="00C0626B"/>
    <w:rsid w:val="00C06C08"/>
    <w:rsid w:val="00C07A8A"/>
    <w:rsid w:val="00C07BDE"/>
    <w:rsid w:val="00C07DAA"/>
    <w:rsid w:val="00C07DAF"/>
    <w:rsid w:val="00C07EA4"/>
    <w:rsid w:val="00C10114"/>
    <w:rsid w:val="00C101C3"/>
    <w:rsid w:val="00C105E4"/>
    <w:rsid w:val="00C10770"/>
    <w:rsid w:val="00C108D0"/>
    <w:rsid w:val="00C10C5E"/>
    <w:rsid w:val="00C10E47"/>
    <w:rsid w:val="00C11125"/>
    <w:rsid w:val="00C1158B"/>
    <w:rsid w:val="00C11AA3"/>
    <w:rsid w:val="00C11EA8"/>
    <w:rsid w:val="00C120AA"/>
    <w:rsid w:val="00C120DF"/>
    <w:rsid w:val="00C1223C"/>
    <w:rsid w:val="00C124B7"/>
    <w:rsid w:val="00C127AB"/>
    <w:rsid w:val="00C127B2"/>
    <w:rsid w:val="00C12993"/>
    <w:rsid w:val="00C129A4"/>
    <w:rsid w:val="00C12D9B"/>
    <w:rsid w:val="00C135B9"/>
    <w:rsid w:val="00C13BB7"/>
    <w:rsid w:val="00C13C76"/>
    <w:rsid w:val="00C14092"/>
    <w:rsid w:val="00C14810"/>
    <w:rsid w:val="00C14F0A"/>
    <w:rsid w:val="00C159D6"/>
    <w:rsid w:val="00C15F60"/>
    <w:rsid w:val="00C16779"/>
    <w:rsid w:val="00C16B03"/>
    <w:rsid w:val="00C16B88"/>
    <w:rsid w:val="00C16E75"/>
    <w:rsid w:val="00C171AC"/>
    <w:rsid w:val="00C17762"/>
    <w:rsid w:val="00C17B4F"/>
    <w:rsid w:val="00C17D5D"/>
    <w:rsid w:val="00C17F2D"/>
    <w:rsid w:val="00C20062"/>
    <w:rsid w:val="00C20084"/>
    <w:rsid w:val="00C20935"/>
    <w:rsid w:val="00C20B3E"/>
    <w:rsid w:val="00C20E32"/>
    <w:rsid w:val="00C211B7"/>
    <w:rsid w:val="00C21529"/>
    <w:rsid w:val="00C220CD"/>
    <w:rsid w:val="00C222F7"/>
    <w:rsid w:val="00C22467"/>
    <w:rsid w:val="00C224B4"/>
    <w:rsid w:val="00C22504"/>
    <w:rsid w:val="00C22631"/>
    <w:rsid w:val="00C22964"/>
    <w:rsid w:val="00C22A9E"/>
    <w:rsid w:val="00C238DD"/>
    <w:rsid w:val="00C23DB5"/>
    <w:rsid w:val="00C23E94"/>
    <w:rsid w:val="00C24361"/>
    <w:rsid w:val="00C243C3"/>
    <w:rsid w:val="00C244F1"/>
    <w:rsid w:val="00C24A72"/>
    <w:rsid w:val="00C24B8F"/>
    <w:rsid w:val="00C24CED"/>
    <w:rsid w:val="00C25530"/>
    <w:rsid w:val="00C2597F"/>
    <w:rsid w:val="00C25A6B"/>
    <w:rsid w:val="00C25CA3"/>
    <w:rsid w:val="00C25E11"/>
    <w:rsid w:val="00C260F9"/>
    <w:rsid w:val="00C26685"/>
    <w:rsid w:val="00C26AD4"/>
    <w:rsid w:val="00C26C28"/>
    <w:rsid w:val="00C26CC0"/>
    <w:rsid w:val="00C26E47"/>
    <w:rsid w:val="00C26FFA"/>
    <w:rsid w:val="00C273A6"/>
    <w:rsid w:val="00C273DC"/>
    <w:rsid w:val="00C27450"/>
    <w:rsid w:val="00C27B70"/>
    <w:rsid w:val="00C308EF"/>
    <w:rsid w:val="00C30B5D"/>
    <w:rsid w:val="00C30F04"/>
    <w:rsid w:val="00C30F38"/>
    <w:rsid w:val="00C310EE"/>
    <w:rsid w:val="00C316E9"/>
    <w:rsid w:val="00C319DB"/>
    <w:rsid w:val="00C31CB9"/>
    <w:rsid w:val="00C31D0B"/>
    <w:rsid w:val="00C3236B"/>
    <w:rsid w:val="00C326AE"/>
    <w:rsid w:val="00C32806"/>
    <w:rsid w:val="00C328D7"/>
    <w:rsid w:val="00C32D4A"/>
    <w:rsid w:val="00C32F72"/>
    <w:rsid w:val="00C331B8"/>
    <w:rsid w:val="00C334BB"/>
    <w:rsid w:val="00C33AF4"/>
    <w:rsid w:val="00C34EAF"/>
    <w:rsid w:val="00C3518C"/>
    <w:rsid w:val="00C3540E"/>
    <w:rsid w:val="00C3540F"/>
    <w:rsid w:val="00C35627"/>
    <w:rsid w:val="00C35681"/>
    <w:rsid w:val="00C35722"/>
    <w:rsid w:val="00C35B80"/>
    <w:rsid w:val="00C3603D"/>
    <w:rsid w:val="00C36201"/>
    <w:rsid w:val="00C36231"/>
    <w:rsid w:val="00C36303"/>
    <w:rsid w:val="00C36663"/>
    <w:rsid w:val="00C36710"/>
    <w:rsid w:val="00C36AE0"/>
    <w:rsid w:val="00C36AE9"/>
    <w:rsid w:val="00C36E6E"/>
    <w:rsid w:val="00C37170"/>
    <w:rsid w:val="00C372D2"/>
    <w:rsid w:val="00C37675"/>
    <w:rsid w:val="00C37829"/>
    <w:rsid w:val="00C3788A"/>
    <w:rsid w:val="00C37B4C"/>
    <w:rsid w:val="00C37BD6"/>
    <w:rsid w:val="00C4070C"/>
    <w:rsid w:val="00C40CC6"/>
    <w:rsid w:val="00C41135"/>
    <w:rsid w:val="00C41760"/>
    <w:rsid w:val="00C41768"/>
    <w:rsid w:val="00C41D71"/>
    <w:rsid w:val="00C41F4F"/>
    <w:rsid w:val="00C420EF"/>
    <w:rsid w:val="00C4246F"/>
    <w:rsid w:val="00C42578"/>
    <w:rsid w:val="00C425CE"/>
    <w:rsid w:val="00C425E5"/>
    <w:rsid w:val="00C428B6"/>
    <w:rsid w:val="00C4295D"/>
    <w:rsid w:val="00C42A33"/>
    <w:rsid w:val="00C43108"/>
    <w:rsid w:val="00C43180"/>
    <w:rsid w:val="00C43399"/>
    <w:rsid w:val="00C43DC2"/>
    <w:rsid w:val="00C43E49"/>
    <w:rsid w:val="00C443FA"/>
    <w:rsid w:val="00C44F58"/>
    <w:rsid w:val="00C457CD"/>
    <w:rsid w:val="00C459A5"/>
    <w:rsid w:val="00C45ADA"/>
    <w:rsid w:val="00C45E10"/>
    <w:rsid w:val="00C45E45"/>
    <w:rsid w:val="00C45E4E"/>
    <w:rsid w:val="00C45F88"/>
    <w:rsid w:val="00C462D3"/>
    <w:rsid w:val="00C4662C"/>
    <w:rsid w:val="00C46B64"/>
    <w:rsid w:val="00C46D7F"/>
    <w:rsid w:val="00C4703F"/>
    <w:rsid w:val="00C472E3"/>
    <w:rsid w:val="00C47AC7"/>
    <w:rsid w:val="00C47BA8"/>
    <w:rsid w:val="00C47BC8"/>
    <w:rsid w:val="00C47E44"/>
    <w:rsid w:val="00C47E98"/>
    <w:rsid w:val="00C50749"/>
    <w:rsid w:val="00C50B47"/>
    <w:rsid w:val="00C511B4"/>
    <w:rsid w:val="00C5120E"/>
    <w:rsid w:val="00C5122B"/>
    <w:rsid w:val="00C515EF"/>
    <w:rsid w:val="00C51917"/>
    <w:rsid w:val="00C51B64"/>
    <w:rsid w:val="00C51F3E"/>
    <w:rsid w:val="00C52445"/>
    <w:rsid w:val="00C5260E"/>
    <w:rsid w:val="00C5280C"/>
    <w:rsid w:val="00C52863"/>
    <w:rsid w:val="00C5299B"/>
    <w:rsid w:val="00C529B0"/>
    <w:rsid w:val="00C52A19"/>
    <w:rsid w:val="00C52DD4"/>
    <w:rsid w:val="00C535D6"/>
    <w:rsid w:val="00C53756"/>
    <w:rsid w:val="00C537A1"/>
    <w:rsid w:val="00C53A3A"/>
    <w:rsid w:val="00C53B1A"/>
    <w:rsid w:val="00C53EA2"/>
    <w:rsid w:val="00C53ED9"/>
    <w:rsid w:val="00C53F1D"/>
    <w:rsid w:val="00C541F2"/>
    <w:rsid w:val="00C54306"/>
    <w:rsid w:val="00C54609"/>
    <w:rsid w:val="00C5465B"/>
    <w:rsid w:val="00C549AE"/>
    <w:rsid w:val="00C54C09"/>
    <w:rsid w:val="00C552E2"/>
    <w:rsid w:val="00C55408"/>
    <w:rsid w:val="00C55647"/>
    <w:rsid w:val="00C55ABF"/>
    <w:rsid w:val="00C55BF0"/>
    <w:rsid w:val="00C56079"/>
    <w:rsid w:val="00C562B7"/>
    <w:rsid w:val="00C56502"/>
    <w:rsid w:val="00C566CD"/>
    <w:rsid w:val="00C5670A"/>
    <w:rsid w:val="00C56847"/>
    <w:rsid w:val="00C56E85"/>
    <w:rsid w:val="00C56E97"/>
    <w:rsid w:val="00C57018"/>
    <w:rsid w:val="00C5706F"/>
    <w:rsid w:val="00C57158"/>
    <w:rsid w:val="00C572EF"/>
    <w:rsid w:val="00C573AB"/>
    <w:rsid w:val="00C57435"/>
    <w:rsid w:val="00C575D0"/>
    <w:rsid w:val="00C57691"/>
    <w:rsid w:val="00C576E4"/>
    <w:rsid w:val="00C579BD"/>
    <w:rsid w:val="00C57A54"/>
    <w:rsid w:val="00C57A69"/>
    <w:rsid w:val="00C57EA4"/>
    <w:rsid w:val="00C602B7"/>
    <w:rsid w:val="00C60445"/>
    <w:rsid w:val="00C60B5E"/>
    <w:rsid w:val="00C610F4"/>
    <w:rsid w:val="00C6111D"/>
    <w:rsid w:val="00C6135C"/>
    <w:rsid w:val="00C61396"/>
    <w:rsid w:val="00C61563"/>
    <w:rsid w:val="00C616BD"/>
    <w:rsid w:val="00C61FCA"/>
    <w:rsid w:val="00C62472"/>
    <w:rsid w:val="00C62F1A"/>
    <w:rsid w:val="00C6326E"/>
    <w:rsid w:val="00C6327A"/>
    <w:rsid w:val="00C6331D"/>
    <w:rsid w:val="00C6394F"/>
    <w:rsid w:val="00C640B1"/>
    <w:rsid w:val="00C640B6"/>
    <w:rsid w:val="00C647AC"/>
    <w:rsid w:val="00C64806"/>
    <w:rsid w:val="00C648D5"/>
    <w:rsid w:val="00C65239"/>
    <w:rsid w:val="00C65252"/>
    <w:rsid w:val="00C653D3"/>
    <w:rsid w:val="00C65850"/>
    <w:rsid w:val="00C65A97"/>
    <w:rsid w:val="00C65AB6"/>
    <w:rsid w:val="00C65D6E"/>
    <w:rsid w:val="00C65DC0"/>
    <w:rsid w:val="00C6647A"/>
    <w:rsid w:val="00C66740"/>
    <w:rsid w:val="00C66998"/>
    <w:rsid w:val="00C66D97"/>
    <w:rsid w:val="00C672D3"/>
    <w:rsid w:val="00C67A33"/>
    <w:rsid w:val="00C700C0"/>
    <w:rsid w:val="00C7022A"/>
    <w:rsid w:val="00C70266"/>
    <w:rsid w:val="00C7043D"/>
    <w:rsid w:val="00C70560"/>
    <w:rsid w:val="00C70677"/>
    <w:rsid w:val="00C707F2"/>
    <w:rsid w:val="00C709BC"/>
    <w:rsid w:val="00C70A64"/>
    <w:rsid w:val="00C70ED3"/>
    <w:rsid w:val="00C711A6"/>
    <w:rsid w:val="00C7122A"/>
    <w:rsid w:val="00C7211F"/>
    <w:rsid w:val="00C72480"/>
    <w:rsid w:val="00C724A6"/>
    <w:rsid w:val="00C727AF"/>
    <w:rsid w:val="00C72A42"/>
    <w:rsid w:val="00C73253"/>
    <w:rsid w:val="00C735CC"/>
    <w:rsid w:val="00C736D4"/>
    <w:rsid w:val="00C73734"/>
    <w:rsid w:val="00C73795"/>
    <w:rsid w:val="00C73A28"/>
    <w:rsid w:val="00C73CC9"/>
    <w:rsid w:val="00C73E4A"/>
    <w:rsid w:val="00C743C0"/>
    <w:rsid w:val="00C74473"/>
    <w:rsid w:val="00C747A2"/>
    <w:rsid w:val="00C748AF"/>
    <w:rsid w:val="00C74D0C"/>
    <w:rsid w:val="00C753B2"/>
    <w:rsid w:val="00C76189"/>
    <w:rsid w:val="00C76458"/>
    <w:rsid w:val="00C76581"/>
    <w:rsid w:val="00C769EB"/>
    <w:rsid w:val="00C7737E"/>
    <w:rsid w:val="00C77403"/>
    <w:rsid w:val="00C77845"/>
    <w:rsid w:val="00C77BC1"/>
    <w:rsid w:val="00C77CA6"/>
    <w:rsid w:val="00C77D69"/>
    <w:rsid w:val="00C802C0"/>
    <w:rsid w:val="00C80521"/>
    <w:rsid w:val="00C80CC2"/>
    <w:rsid w:val="00C810EF"/>
    <w:rsid w:val="00C81DF1"/>
    <w:rsid w:val="00C822C7"/>
    <w:rsid w:val="00C825AD"/>
    <w:rsid w:val="00C825CF"/>
    <w:rsid w:val="00C82841"/>
    <w:rsid w:val="00C82B3B"/>
    <w:rsid w:val="00C82FD5"/>
    <w:rsid w:val="00C833E6"/>
    <w:rsid w:val="00C8395C"/>
    <w:rsid w:val="00C83B5A"/>
    <w:rsid w:val="00C83CCE"/>
    <w:rsid w:val="00C83FEC"/>
    <w:rsid w:val="00C8402A"/>
    <w:rsid w:val="00C84339"/>
    <w:rsid w:val="00C844E4"/>
    <w:rsid w:val="00C84A07"/>
    <w:rsid w:val="00C84E2F"/>
    <w:rsid w:val="00C8504C"/>
    <w:rsid w:val="00C85184"/>
    <w:rsid w:val="00C85502"/>
    <w:rsid w:val="00C85578"/>
    <w:rsid w:val="00C85D38"/>
    <w:rsid w:val="00C85D3D"/>
    <w:rsid w:val="00C860F2"/>
    <w:rsid w:val="00C86273"/>
    <w:rsid w:val="00C86752"/>
    <w:rsid w:val="00C86974"/>
    <w:rsid w:val="00C86DC4"/>
    <w:rsid w:val="00C87660"/>
    <w:rsid w:val="00C87757"/>
    <w:rsid w:val="00C877EC"/>
    <w:rsid w:val="00C879CC"/>
    <w:rsid w:val="00C87A13"/>
    <w:rsid w:val="00C87C83"/>
    <w:rsid w:val="00C87DF6"/>
    <w:rsid w:val="00C87FAE"/>
    <w:rsid w:val="00C90777"/>
    <w:rsid w:val="00C9083E"/>
    <w:rsid w:val="00C909B0"/>
    <w:rsid w:val="00C90DD0"/>
    <w:rsid w:val="00C90EE7"/>
    <w:rsid w:val="00C90F4A"/>
    <w:rsid w:val="00C912F6"/>
    <w:rsid w:val="00C913F3"/>
    <w:rsid w:val="00C916E0"/>
    <w:rsid w:val="00C917D4"/>
    <w:rsid w:val="00C918A9"/>
    <w:rsid w:val="00C91D5A"/>
    <w:rsid w:val="00C91D6B"/>
    <w:rsid w:val="00C9227F"/>
    <w:rsid w:val="00C922A6"/>
    <w:rsid w:val="00C9243C"/>
    <w:rsid w:val="00C92452"/>
    <w:rsid w:val="00C92874"/>
    <w:rsid w:val="00C92EBB"/>
    <w:rsid w:val="00C92EE2"/>
    <w:rsid w:val="00C930ED"/>
    <w:rsid w:val="00C93B62"/>
    <w:rsid w:val="00C93F4D"/>
    <w:rsid w:val="00C9407B"/>
    <w:rsid w:val="00C94094"/>
    <w:rsid w:val="00C9418D"/>
    <w:rsid w:val="00C94B60"/>
    <w:rsid w:val="00C951EF"/>
    <w:rsid w:val="00C95249"/>
    <w:rsid w:val="00C95408"/>
    <w:rsid w:val="00C95752"/>
    <w:rsid w:val="00C95AA6"/>
    <w:rsid w:val="00C95B0C"/>
    <w:rsid w:val="00C96037"/>
    <w:rsid w:val="00C9652C"/>
    <w:rsid w:val="00C9666E"/>
    <w:rsid w:val="00C96805"/>
    <w:rsid w:val="00C96997"/>
    <w:rsid w:val="00C96B06"/>
    <w:rsid w:val="00C96E30"/>
    <w:rsid w:val="00C97167"/>
    <w:rsid w:val="00C97351"/>
    <w:rsid w:val="00C9767B"/>
    <w:rsid w:val="00C97904"/>
    <w:rsid w:val="00C9799A"/>
    <w:rsid w:val="00C97C36"/>
    <w:rsid w:val="00C97D16"/>
    <w:rsid w:val="00C97D92"/>
    <w:rsid w:val="00CA0692"/>
    <w:rsid w:val="00CA0AC7"/>
    <w:rsid w:val="00CA0D49"/>
    <w:rsid w:val="00CA13F1"/>
    <w:rsid w:val="00CA13F2"/>
    <w:rsid w:val="00CA1571"/>
    <w:rsid w:val="00CA1628"/>
    <w:rsid w:val="00CA1759"/>
    <w:rsid w:val="00CA1D50"/>
    <w:rsid w:val="00CA2381"/>
    <w:rsid w:val="00CA23D7"/>
    <w:rsid w:val="00CA24F3"/>
    <w:rsid w:val="00CA2B2F"/>
    <w:rsid w:val="00CA2C83"/>
    <w:rsid w:val="00CA2D23"/>
    <w:rsid w:val="00CA321D"/>
    <w:rsid w:val="00CA32BA"/>
    <w:rsid w:val="00CA345C"/>
    <w:rsid w:val="00CA364B"/>
    <w:rsid w:val="00CA3DE5"/>
    <w:rsid w:val="00CA3F9B"/>
    <w:rsid w:val="00CA41F9"/>
    <w:rsid w:val="00CA462A"/>
    <w:rsid w:val="00CA4951"/>
    <w:rsid w:val="00CA4C9A"/>
    <w:rsid w:val="00CA4E46"/>
    <w:rsid w:val="00CA52BF"/>
    <w:rsid w:val="00CA55D2"/>
    <w:rsid w:val="00CA5C64"/>
    <w:rsid w:val="00CA5ECD"/>
    <w:rsid w:val="00CA5F6B"/>
    <w:rsid w:val="00CA676B"/>
    <w:rsid w:val="00CA69C7"/>
    <w:rsid w:val="00CA6A2D"/>
    <w:rsid w:val="00CA6F83"/>
    <w:rsid w:val="00CA70EC"/>
    <w:rsid w:val="00CA72CA"/>
    <w:rsid w:val="00CA7697"/>
    <w:rsid w:val="00CA79FE"/>
    <w:rsid w:val="00CA7F8A"/>
    <w:rsid w:val="00CB033A"/>
    <w:rsid w:val="00CB060C"/>
    <w:rsid w:val="00CB06CB"/>
    <w:rsid w:val="00CB06ED"/>
    <w:rsid w:val="00CB0850"/>
    <w:rsid w:val="00CB0A12"/>
    <w:rsid w:val="00CB0E93"/>
    <w:rsid w:val="00CB0F42"/>
    <w:rsid w:val="00CB0F9A"/>
    <w:rsid w:val="00CB1604"/>
    <w:rsid w:val="00CB1BC3"/>
    <w:rsid w:val="00CB1DEB"/>
    <w:rsid w:val="00CB265E"/>
    <w:rsid w:val="00CB2926"/>
    <w:rsid w:val="00CB29FD"/>
    <w:rsid w:val="00CB2C07"/>
    <w:rsid w:val="00CB2C7F"/>
    <w:rsid w:val="00CB3414"/>
    <w:rsid w:val="00CB3C6F"/>
    <w:rsid w:val="00CB4485"/>
    <w:rsid w:val="00CB4537"/>
    <w:rsid w:val="00CB4662"/>
    <w:rsid w:val="00CB4799"/>
    <w:rsid w:val="00CB48E9"/>
    <w:rsid w:val="00CB49C8"/>
    <w:rsid w:val="00CB4F32"/>
    <w:rsid w:val="00CB5927"/>
    <w:rsid w:val="00CB5D2C"/>
    <w:rsid w:val="00CB6774"/>
    <w:rsid w:val="00CB699A"/>
    <w:rsid w:val="00CB69D3"/>
    <w:rsid w:val="00CB71F4"/>
    <w:rsid w:val="00CB724C"/>
    <w:rsid w:val="00CB73D3"/>
    <w:rsid w:val="00CB7468"/>
    <w:rsid w:val="00CB7623"/>
    <w:rsid w:val="00CB77F7"/>
    <w:rsid w:val="00CB790D"/>
    <w:rsid w:val="00CB7D18"/>
    <w:rsid w:val="00CC016B"/>
    <w:rsid w:val="00CC0535"/>
    <w:rsid w:val="00CC0636"/>
    <w:rsid w:val="00CC0E12"/>
    <w:rsid w:val="00CC1180"/>
    <w:rsid w:val="00CC1822"/>
    <w:rsid w:val="00CC1A02"/>
    <w:rsid w:val="00CC1A92"/>
    <w:rsid w:val="00CC1BDD"/>
    <w:rsid w:val="00CC2405"/>
    <w:rsid w:val="00CC2BDC"/>
    <w:rsid w:val="00CC2D38"/>
    <w:rsid w:val="00CC30CD"/>
    <w:rsid w:val="00CC320A"/>
    <w:rsid w:val="00CC3565"/>
    <w:rsid w:val="00CC359E"/>
    <w:rsid w:val="00CC3B80"/>
    <w:rsid w:val="00CC3BE2"/>
    <w:rsid w:val="00CC3E2F"/>
    <w:rsid w:val="00CC42C7"/>
    <w:rsid w:val="00CC43CE"/>
    <w:rsid w:val="00CC4569"/>
    <w:rsid w:val="00CC495A"/>
    <w:rsid w:val="00CC4A42"/>
    <w:rsid w:val="00CC526F"/>
    <w:rsid w:val="00CC537A"/>
    <w:rsid w:val="00CC53A8"/>
    <w:rsid w:val="00CC5492"/>
    <w:rsid w:val="00CC5D29"/>
    <w:rsid w:val="00CC5E78"/>
    <w:rsid w:val="00CC5ECE"/>
    <w:rsid w:val="00CC5F42"/>
    <w:rsid w:val="00CC606B"/>
    <w:rsid w:val="00CC6207"/>
    <w:rsid w:val="00CC63BF"/>
    <w:rsid w:val="00CC6851"/>
    <w:rsid w:val="00CC68B2"/>
    <w:rsid w:val="00CC6E70"/>
    <w:rsid w:val="00CC6F30"/>
    <w:rsid w:val="00CC6F7F"/>
    <w:rsid w:val="00CC704E"/>
    <w:rsid w:val="00CC725A"/>
    <w:rsid w:val="00CC7E96"/>
    <w:rsid w:val="00CD064E"/>
    <w:rsid w:val="00CD0715"/>
    <w:rsid w:val="00CD091A"/>
    <w:rsid w:val="00CD09BA"/>
    <w:rsid w:val="00CD1194"/>
    <w:rsid w:val="00CD13D8"/>
    <w:rsid w:val="00CD1784"/>
    <w:rsid w:val="00CD1A63"/>
    <w:rsid w:val="00CD207D"/>
    <w:rsid w:val="00CD2091"/>
    <w:rsid w:val="00CD2734"/>
    <w:rsid w:val="00CD29AF"/>
    <w:rsid w:val="00CD2AFA"/>
    <w:rsid w:val="00CD2B47"/>
    <w:rsid w:val="00CD2DA7"/>
    <w:rsid w:val="00CD348B"/>
    <w:rsid w:val="00CD3807"/>
    <w:rsid w:val="00CD3BC5"/>
    <w:rsid w:val="00CD3E34"/>
    <w:rsid w:val="00CD47FF"/>
    <w:rsid w:val="00CD4885"/>
    <w:rsid w:val="00CD4980"/>
    <w:rsid w:val="00CD543A"/>
    <w:rsid w:val="00CD571B"/>
    <w:rsid w:val="00CD580A"/>
    <w:rsid w:val="00CD5812"/>
    <w:rsid w:val="00CD5B7B"/>
    <w:rsid w:val="00CD6007"/>
    <w:rsid w:val="00CD6069"/>
    <w:rsid w:val="00CD633C"/>
    <w:rsid w:val="00CD6683"/>
    <w:rsid w:val="00CD673B"/>
    <w:rsid w:val="00CD7075"/>
    <w:rsid w:val="00CD74FB"/>
    <w:rsid w:val="00CD752F"/>
    <w:rsid w:val="00CD7EFF"/>
    <w:rsid w:val="00CE00DA"/>
    <w:rsid w:val="00CE048B"/>
    <w:rsid w:val="00CE07C1"/>
    <w:rsid w:val="00CE0AAA"/>
    <w:rsid w:val="00CE0D7A"/>
    <w:rsid w:val="00CE12B1"/>
    <w:rsid w:val="00CE1325"/>
    <w:rsid w:val="00CE1359"/>
    <w:rsid w:val="00CE13FC"/>
    <w:rsid w:val="00CE157C"/>
    <w:rsid w:val="00CE16FE"/>
    <w:rsid w:val="00CE1A93"/>
    <w:rsid w:val="00CE1B18"/>
    <w:rsid w:val="00CE20F6"/>
    <w:rsid w:val="00CE2154"/>
    <w:rsid w:val="00CE24AC"/>
    <w:rsid w:val="00CE26A8"/>
    <w:rsid w:val="00CE26EA"/>
    <w:rsid w:val="00CE27C0"/>
    <w:rsid w:val="00CE28D6"/>
    <w:rsid w:val="00CE2BE8"/>
    <w:rsid w:val="00CE2C12"/>
    <w:rsid w:val="00CE2FA9"/>
    <w:rsid w:val="00CE3143"/>
    <w:rsid w:val="00CE343B"/>
    <w:rsid w:val="00CE3725"/>
    <w:rsid w:val="00CE3CEF"/>
    <w:rsid w:val="00CE3CFD"/>
    <w:rsid w:val="00CE3D2A"/>
    <w:rsid w:val="00CE418F"/>
    <w:rsid w:val="00CE4404"/>
    <w:rsid w:val="00CE46DF"/>
    <w:rsid w:val="00CE474D"/>
    <w:rsid w:val="00CE4F1A"/>
    <w:rsid w:val="00CE518F"/>
    <w:rsid w:val="00CE613F"/>
    <w:rsid w:val="00CE6821"/>
    <w:rsid w:val="00CE68C8"/>
    <w:rsid w:val="00CE6A21"/>
    <w:rsid w:val="00CE6E1F"/>
    <w:rsid w:val="00CE6FE5"/>
    <w:rsid w:val="00CE7431"/>
    <w:rsid w:val="00CE7698"/>
    <w:rsid w:val="00CE77DD"/>
    <w:rsid w:val="00CE785B"/>
    <w:rsid w:val="00CE798E"/>
    <w:rsid w:val="00CE7C42"/>
    <w:rsid w:val="00CE7DD6"/>
    <w:rsid w:val="00CF0086"/>
    <w:rsid w:val="00CF01AB"/>
    <w:rsid w:val="00CF0347"/>
    <w:rsid w:val="00CF0B65"/>
    <w:rsid w:val="00CF0E2D"/>
    <w:rsid w:val="00CF1443"/>
    <w:rsid w:val="00CF173F"/>
    <w:rsid w:val="00CF17C7"/>
    <w:rsid w:val="00CF1CFA"/>
    <w:rsid w:val="00CF22A6"/>
    <w:rsid w:val="00CF2F63"/>
    <w:rsid w:val="00CF320F"/>
    <w:rsid w:val="00CF3270"/>
    <w:rsid w:val="00CF3442"/>
    <w:rsid w:val="00CF3AB4"/>
    <w:rsid w:val="00CF3E2C"/>
    <w:rsid w:val="00CF429F"/>
    <w:rsid w:val="00CF4355"/>
    <w:rsid w:val="00CF4496"/>
    <w:rsid w:val="00CF48E4"/>
    <w:rsid w:val="00CF4F19"/>
    <w:rsid w:val="00CF50D1"/>
    <w:rsid w:val="00CF530D"/>
    <w:rsid w:val="00CF53EF"/>
    <w:rsid w:val="00CF58EA"/>
    <w:rsid w:val="00CF5F07"/>
    <w:rsid w:val="00CF5F2D"/>
    <w:rsid w:val="00CF6C7F"/>
    <w:rsid w:val="00CF6DE7"/>
    <w:rsid w:val="00CF6F73"/>
    <w:rsid w:val="00CF78E2"/>
    <w:rsid w:val="00CF7B2E"/>
    <w:rsid w:val="00CF7B5A"/>
    <w:rsid w:val="00D000BC"/>
    <w:rsid w:val="00D000C6"/>
    <w:rsid w:val="00D00405"/>
    <w:rsid w:val="00D0058C"/>
    <w:rsid w:val="00D008E3"/>
    <w:rsid w:val="00D00A3B"/>
    <w:rsid w:val="00D00A44"/>
    <w:rsid w:val="00D011D0"/>
    <w:rsid w:val="00D01507"/>
    <w:rsid w:val="00D01C26"/>
    <w:rsid w:val="00D01CC6"/>
    <w:rsid w:val="00D01DA5"/>
    <w:rsid w:val="00D01FAA"/>
    <w:rsid w:val="00D020C1"/>
    <w:rsid w:val="00D02155"/>
    <w:rsid w:val="00D0279A"/>
    <w:rsid w:val="00D02A77"/>
    <w:rsid w:val="00D02BAF"/>
    <w:rsid w:val="00D02BB7"/>
    <w:rsid w:val="00D02C57"/>
    <w:rsid w:val="00D02DAB"/>
    <w:rsid w:val="00D03189"/>
    <w:rsid w:val="00D03D95"/>
    <w:rsid w:val="00D03E0C"/>
    <w:rsid w:val="00D043CB"/>
    <w:rsid w:val="00D04480"/>
    <w:rsid w:val="00D04537"/>
    <w:rsid w:val="00D04582"/>
    <w:rsid w:val="00D04A42"/>
    <w:rsid w:val="00D04CB6"/>
    <w:rsid w:val="00D04E99"/>
    <w:rsid w:val="00D05560"/>
    <w:rsid w:val="00D05AA0"/>
    <w:rsid w:val="00D05DE2"/>
    <w:rsid w:val="00D05E2E"/>
    <w:rsid w:val="00D05FF9"/>
    <w:rsid w:val="00D063E7"/>
    <w:rsid w:val="00D06D94"/>
    <w:rsid w:val="00D071D1"/>
    <w:rsid w:val="00D07208"/>
    <w:rsid w:val="00D072C3"/>
    <w:rsid w:val="00D07388"/>
    <w:rsid w:val="00D073B7"/>
    <w:rsid w:val="00D07D32"/>
    <w:rsid w:val="00D101E6"/>
    <w:rsid w:val="00D102D1"/>
    <w:rsid w:val="00D109BC"/>
    <w:rsid w:val="00D11169"/>
    <w:rsid w:val="00D113F5"/>
    <w:rsid w:val="00D11E08"/>
    <w:rsid w:val="00D1204D"/>
    <w:rsid w:val="00D120A9"/>
    <w:rsid w:val="00D12151"/>
    <w:rsid w:val="00D1246C"/>
    <w:rsid w:val="00D1280A"/>
    <w:rsid w:val="00D1281D"/>
    <w:rsid w:val="00D1371A"/>
    <w:rsid w:val="00D13A50"/>
    <w:rsid w:val="00D1411A"/>
    <w:rsid w:val="00D143EC"/>
    <w:rsid w:val="00D1441B"/>
    <w:rsid w:val="00D14A42"/>
    <w:rsid w:val="00D14C82"/>
    <w:rsid w:val="00D15432"/>
    <w:rsid w:val="00D155FA"/>
    <w:rsid w:val="00D1597F"/>
    <w:rsid w:val="00D15ACC"/>
    <w:rsid w:val="00D15DAF"/>
    <w:rsid w:val="00D161BB"/>
    <w:rsid w:val="00D1683F"/>
    <w:rsid w:val="00D16B5C"/>
    <w:rsid w:val="00D16CF6"/>
    <w:rsid w:val="00D16D6D"/>
    <w:rsid w:val="00D1701B"/>
    <w:rsid w:val="00D17083"/>
    <w:rsid w:val="00D17463"/>
    <w:rsid w:val="00D17A86"/>
    <w:rsid w:val="00D20227"/>
    <w:rsid w:val="00D2029A"/>
    <w:rsid w:val="00D209F9"/>
    <w:rsid w:val="00D20F7D"/>
    <w:rsid w:val="00D21577"/>
    <w:rsid w:val="00D215BC"/>
    <w:rsid w:val="00D219BF"/>
    <w:rsid w:val="00D21BE2"/>
    <w:rsid w:val="00D21E01"/>
    <w:rsid w:val="00D21E74"/>
    <w:rsid w:val="00D22384"/>
    <w:rsid w:val="00D223DA"/>
    <w:rsid w:val="00D229BA"/>
    <w:rsid w:val="00D22C8A"/>
    <w:rsid w:val="00D22D42"/>
    <w:rsid w:val="00D22D7C"/>
    <w:rsid w:val="00D22F08"/>
    <w:rsid w:val="00D233B2"/>
    <w:rsid w:val="00D236A9"/>
    <w:rsid w:val="00D23881"/>
    <w:rsid w:val="00D2477D"/>
    <w:rsid w:val="00D24810"/>
    <w:rsid w:val="00D24980"/>
    <w:rsid w:val="00D252D3"/>
    <w:rsid w:val="00D255B8"/>
    <w:rsid w:val="00D2564A"/>
    <w:rsid w:val="00D25878"/>
    <w:rsid w:val="00D25CAC"/>
    <w:rsid w:val="00D262BA"/>
    <w:rsid w:val="00D26374"/>
    <w:rsid w:val="00D263AB"/>
    <w:rsid w:val="00D264A7"/>
    <w:rsid w:val="00D27612"/>
    <w:rsid w:val="00D27C7E"/>
    <w:rsid w:val="00D27CE5"/>
    <w:rsid w:val="00D30305"/>
    <w:rsid w:val="00D3036B"/>
    <w:rsid w:val="00D303A0"/>
    <w:rsid w:val="00D303E0"/>
    <w:rsid w:val="00D3044B"/>
    <w:rsid w:val="00D30593"/>
    <w:rsid w:val="00D30BF8"/>
    <w:rsid w:val="00D30D5E"/>
    <w:rsid w:val="00D30D85"/>
    <w:rsid w:val="00D311F3"/>
    <w:rsid w:val="00D31463"/>
    <w:rsid w:val="00D31997"/>
    <w:rsid w:val="00D319CF"/>
    <w:rsid w:val="00D31E08"/>
    <w:rsid w:val="00D3280D"/>
    <w:rsid w:val="00D329BA"/>
    <w:rsid w:val="00D32AE2"/>
    <w:rsid w:val="00D32EA6"/>
    <w:rsid w:val="00D336A9"/>
    <w:rsid w:val="00D336D8"/>
    <w:rsid w:val="00D33769"/>
    <w:rsid w:val="00D33825"/>
    <w:rsid w:val="00D33836"/>
    <w:rsid w:val="00D33A0F"/>
    <w:rsid w:val="00D33A79"/>
    <w:rsid w:val="00D33DAC"/>
    <w:rsid w:val="00D33F67"/>
    <w:rsid w:val="00D33F8D"/>
    <w:rsid w:val="00D341E4"/>
    <w:rsid w:val="00D343FF"/>
    <w:rsid w:val="00D34462"/>
    <w:rsid w:val="00D34972"/>
    <w:rsid w:val="00D34C32"/>
    <w:rsid w:val="00D356ED"/>
    <w:rsid w:val="00D3571F"/>
    <w:rsid w:val="00D3584D"/>
    <w:rsid w:val="00D35B59"/>
    <w:rsid w:val="00D35BED"/>
    <w:rsid w:val="00D35EF8"/>
    <w:rsid w:val="00D365BB"/>
    <w:rsid w:val="00D36947"/>
    <w:rsid w:val="00D36D73"/>
    <w:rsid w:val="00D3704C"/>
    <w:rsid w:val="00D37A77"/>
    <w:rsid w:val="00D40065"/>
    <w:rsid w:val="00D40527"/>
    <w:rsid w:val="00D40B24"/>
    <w:rsid w:val="00D40CF1"/>
    <w:rsid w:val="00D40FA0"/>
    <w:rsid w:val="00D412C0"/>
    <w:rsid w:val="00D412D9"/>
    <w:rsid w:val="00D414B6"/>
    <w:rsid w:val="00D4187E"/>
    <w:rsid w:val="00D41ADC"/>
    <w:rsid w:val="00D41B40"/>
    <w:rsid w:val="00D41C12"/>
    <w:rsid w:val="00D42C41"/>
    <w:rsid w:val="00D42E9C"/>
    <w:rsid w:val="00D43048"/>
    <w:rsid w:val="00D43460"/>
    <w:rsid w:val="00D4354F"/>
    <w:rsid w:val="00D438C8"/>
    <w:rsid w:val="00D43AF2"/>
    <w:rsid w:val="00D43C9D"/>
    <w:rsid w:val="00D43F54"/>
    <w:rsid w:val="00D441F5"/>
    <w:rsid w:val="00D44649"/>
    <w:rsid w:val="00D446D1"/>
    <w:rsid w:val="00D448CB"/>
    <w:rsid w:val="00D448E9"/>
    <w:rsid w:val="00D44B69"/>
    <w:rsid w:val="00D44C03"/>
    <w:rsid w:val="00D44C59"/>
    <w:rsid w:val="00D44C7A"/>
    <w:rsid w:val="00D44E33"/>
    <w:rsid w:val="00D45110"/>
    <w:rsid w:val="00D451F8"/>
    <w:rsid w:val="00D454A8"/>
    <w:rsid w:val="00D4554C"/>
    <w:rsid w:val="00D4564D"/>
    <w:rsid w:val="00D45C45"/>
    <w:rsid w:val="00D45DB8"/>
    <w:rsid w:val="00D45FE9"/>
    <w:rsid w:val="00D462FE"/>
    <w:rsid w:val="00D46525"/>
    <w:rsid w:val="00D466D3"/>
    <w:rsid w:val="00D468C0"/>
    <w:rsid w:val="00D46BA0"/>
    <w:rsid w:val="00D46E35"/>
    <w:rsid w:val="00D46E48"/>
    <w:rsid w:val="00D46E7E"/>
    <w:rsid w:val="00D472D9"/>
    <w:rsid w:val="00D47699"/>
    <w:rsid w:val="00D47E5C"/>
    <w:rsid w:val="00D5053A"/>
    <w:rsid w:val="00D507F7"/>
    <w:rsid w:val="00D50AF0"/>
    <w:rsid w:val="00D50B5E"/>
    <w:rsid w:val="00D50BD6"/>
    <w:rsid w:val="00D50D1E"/>
    <w:rsid w:val="00D50E6D"/>
    <w:rsid w:val="00D50FAD"/>
    <w:rsid w:val="00D50FDE"/>
    <w:rsid w:val="00D515BF"/>
    <w:rsid w:val="00D516F7"/>
    <w:rsid w:val="00D51726"/>
    <w:rsid w:val="00D5180E"/>
    <w:rsid w:val="00D52272"/>
    <w:rsid w:val="00D52835"/>
    <w:rsid w:val="00D52942"/>
    <w:rsid w:val="00D52A60"/>
    <w:rsid w:val="00D52A7D"/>
    <w:rsid w:val="00D5367E"/>
    <w:rsid w:val="00D5406A"/>
    <w:rsid w:val="00D543F6"/>
    <w:rsid w:val="00D54A1E"/>
    <w:rsid w:val="00D54B2E"/>
    <w:rsid w:val="00D54E08"/>
    <w:rsid w:val="00D55270"/>
    <w:rsid w:val="00D5557D"/>
    <w:rsid w:val="00D559D6"/>
    <w:rsid w:val="00D55AA0"/>
    <w:rsid w:val="00D55ADB"/>
    <w:rsid w:val="00D55E8C"/>
    <w:rsid w:val="00D55E9F"/>
    <w:rsid w:val="00D5600A"/>
    <w:rsid w:val="00D5607A"/>
    <w:rsid w:val="00D56162"/>
    <w:rsid w:val="00D56841"/>
    <w:rsid w:val="00D56B73"/>
    <w:rsid w:val="00D56C1F"/>
    <w:rsid w:val="00D5701C"/>
    <w:rsid w:val="00D5706E"/>
    <w:rsid w:val="00D5747F"/>
    <w:rsid w:val="00D575F1"/>
    <w:rsid w:val="00D57FD7"/>
    <w:rsid w:val="00D60000"/>
    <w:rsid w:val="00D60214"/>
    <w:rsid w:val="00D606DA"/>
    <w:rsid w:val="00D609D8"/>
    <w:rsid w:val="00D60A0E"/>
    <w:rsid w:val="00D6106F"/>
    <w:rsid w:val="00D6125D"/>
    <w:rsid w:val="00D617BE"/>
    <w:rsid w:val="00D61819"/>
    <w:rsid w:val="00D61920"/>
    <w:rsid w:val="00D619A4"/>
    <w:rsid w:val="00D6211F"/>
    <w:rsid w:val="00D621D4"/>
    <w:rsid w:val="00D6224F"/>
    <w:rsid w:val="00D62550"/>
    <w:rsid w:val="00D625B0"/>
    <w:rsid w:val="00D62D07"/>
    <w:rsid w:val="00D62D31"/>
    <w:rsid w:val="00D6300D"/>
    <w:rsid w:val="00D63149"/>
    <w:rsid w:val="00D6360F"/>
    <w:rsid w:val="00D6397E"/>
    <w:rsid w:val="00D63B82"/>
    <w:rsid w:val="00D63BF8"/>
    <w:rsid w:val="00D63D28"/>
    <w:rsid w:val="00D63DC5"/>
    <w:rsid w:val="00D64113"/>
    <w:rsid w:val="00D643CA"/>
    <w:rsid w:val="00D646A9"/>
    <w:rsid w:val="00D646AF"/>
    <w:rsid w:val="00D646F2"/>
    <w:rsid w:val="00D6534C"/>
    <w:rsid w:val="00D6535C"/>
    <w:rsid w:val="00D65457"/>
    <w:rsid w:val="00D65472"/>
    <w:rsid w:val="00D656A7"/>
    <w:rsid w:val="00D656E3"/>
    <w:rsid w:val="00D657FD"/>
    <w:rsid w:val="00D66180"/>
    <w:rsid w:val="00D664F0"/>
    <w:rsid w:val="00D669C3"/>
    <w:rsid w:val="00D66A09"/>
    <w:rsid w:val="00D66D2D"/>
    <w:rsid w:val="00D66F57"/>
    <w:rsid w:val="00D67869"/>
    <w:rsid w:val="00D67A55"/>
    <w:rsid w:val="00D67CE5"/>
    <w:rsid w:val="00D7001A"/>
    <w:rsid w:val="00D7016D"/>
    <w:rsid w:val="00D709FE"/>
    <w:rsid w:val="00D70A7C"/>
    <w:rsid w:val="00D70B4C"/>
    <w:rsid w:val="00D70C46"/>
    <w:rsid w:val="00D71368"/>
    <w:rsid w:val="00D71370"/>
    <w:rsid w:val="00D71486"/>
    <w:rsid w:val="00D7159A"/>
    <w:rsid w:val="00D71637"/>
    <w:rsid w:val="00D71691"/>
    <w:rsid w:val="00D71B5B"/>
    <w:rsid w:val="00D71B87"/>
    <w:rsid w:val="00D71D78"/>
    <w:rsid w:val="00D71F42"/>
    <w:rsid w:val="00D725F0"/>
    <w:rsid w:val="00D728B9"/>
    <w:rsid w:val="00D7297C"/>
    <w:rsid w:val="00D72C38"/>
    <w:rsid w:val="00D732B3"/>
    <w:rsid w:val="00D73449"/>
    <w:rsid w:val="00D737C1"/>
    <w:rsid w:val="00D73AE5"/>
    <w:rsid w:val="00D742F5"/>
    <w:rsid w:val="00D7436A"/>
    <w:rsid w:val="00D7447F"/>
    <w:rsid w:val="00D744BA"/>
    <w:rsid w:val="00D749B3"/>
    <w:rsid w:val="00D74D55"/>
    <w:rsid w:val="00D74D66"/>
    <w:rsid w:val="00D74DEF"/>
    <w:rsid w:val="00D75154"/>
    <w:rsid w:val="00D75519"/>
    <w:rsid w:val="00D7602A"/>
    <w:rsid w:val="00D766D6"/>
    <w:rsid w:val="00D768D0"/>
    <w:rsid w:val="00D769E3"/>
    <w:rsid w:val="00D769FD"/>
    <w:rsid w:val="00D76BBB"/>
    <w:rsid w:val="00D76DC4"/>
    <w:rsid w:val="00D7705F"/>
    <w:rsid w:val="00D77093"/>
    <w:rsid w:val="00D777FB"/>
    <w:rsid w:val="00D77876"/>
    <w:rsid w:val="00D77DA4"/>
    <w:rsid w:val="00D80449"/>
    <w:rsid w:val="00D80468"/>
    <w:rsid w:val="00D804AD"/>
    <w:rsid w:val="00D8082F"/>
    <w:rsid w:val="00D812CD"/>
    <w:rsid w:val="00D81879"/>
    <w:rsid w:val="00D8232C"/>
    <w:rsid w:val="00D82455"/>
    <w:rsid w:val="00D826AC"/>
    <w:rsid w:val="00D82893"/>
    <w:rsid w:val="00D829E2"/>
    <w:rsid w:val="00D82DF0"/>
    <w:rsid w:val="00D82E63"/>
    <w:rsid w:val="00D837B3"/>
    <w:rsid w:val="00D838E1"/>
    <w:rsid w:val="00D84133"/>
    <w:rsid w:val="00D8458A"/>
    <w:rsid w:val="00D8481C"/>
    <w:rsid w:val="00D849C0"/>
    <w:rsid w:val="00D84F76"/>
    <w:rsid w:val="00D8508A"/>
    <w:rsid w:val="00D85979"/>
    <w:rsid w:val="00D85A86"/>
    <w:rsid w:val="00D86025"/>
    <w:rsid w:val="00D86600"/>
    <w:rsid w:val="00D8671B"/>
    <w:rsid w:val="00D86A8C"/>
    <w:rsid w:val="00D86C52"/>
    <w:rsid w:val="00D86F39"/>
    <w:rsid w:val="00D87299"/>
    <w:rsid w:val="00D87503"/>
    <w:rsid w:val="00D87A6C"/>
    <w:rsid w:val="00D87A6D"/>
    <w:rsid w:val="00D87AEB"/>
    <w:rsid w:val="00D87EA9"/>
    <w:rsid w:val="00D87F39"/>
    <w:rsid w:val="00D901F9"/>
    <w:rsid w:val="00D904A8"/>
    <w:rsid w:val="00D9053C"/>
    <w:rsid w:val="00D906F3"/>
    <w:rsid w:val="00D90CF4"/>
    <w:rsid w:val="00D90F0E"/>
    <w:rsid w:val="00D91252"/>
    <w:rsid w:val="00D9128D"/>
    <w:rsid w:val="00D91B1F"/>
    <w:rsid w:val="00D91BB3"/>
    <w:rsid w:val="00D920CC"/>
    <w:rsid w:val="00D9247B"/>
    <w:rsid w:val="00D92844"/>
    <w:rsid w:val="00D92B88"/>
    <w:rsid w:val="00D92E42"/>
    <w:rsid w:val="00D92EBC"/>
    <w:rsid w:val="00D92FED"/>
    <w:rsid w:val="00D9303F"/>
    <w:rsid w:val="00D93158"/>
    <w:rsid w:val="00D93159"/>
    <w:rsid w:val="00D93476"/>
    <w:rsid w:val="00D935AD"/>
    <w:rsid w:val="00D9370A"/>
    <w:rsid w:val="00D93A36"/>
    <w:rsid w:val="00D93B88"/>
    <w:rsid w:val="00D93C1C"/>
    <w:rsid w:val="00D93CBE"/>
    <w:rsid w:val="00D941EE"/>
    <w:rsid w:val="00D94288"/>
    <w:rsid w:val="00D9429A"/>
    <w:rsid w:val="00D94536"/>
    <w:rsid w:val="00D9463D"/>
    <w:rsid w:val="00D94735"/>
    <w:rsid w:val="00D94AD8"/>
    <w:rsid w:val="00D9507F"/>
    <w:rsid w:val="00D95EF8"/>
    <w:rsid w:val="00D9604D"/>
    <w:rsid w:val="00D96502"/>
    <w:rsid w:val="00D9697E"/>
    <w:rsid w:val="00D96FEE"/>
    <w:rsid w:val="00D97173"/>
    <w:rsid w:val="00D974B2"/>
    <w:rsid w:val="00D97747"/>
    <w:rsid w:val="00D97BE0"/>
    <w:rsid w:val="00DA0199"/>
    <w:rsid w:val="00DA04A4"/>
    <w:rsid w:val="00DA06E2"/>
    <w:rsid w:val="00DA09E2"/>
    <w:rsid w:val="00DA0A43"/>
    <w:rsid w:val="00DA0F3C"/>
    <w:rsid w:val="00DA10DE"/>
    <w:rsid w:val="00DA14A2"/>
    <w:rsid w:val="00DA17C7"/>
    <w:rsid w:val="00DA1807"/>
    <w:rsid w:val="00DA1C87"/>
    <w:rsid w:val="00DA20D1"/>
    <w:rsid w:val="00DA20E5"/>
    <w:rsid w:val="00DA20FD"/>
    <w:rsid w:val="00DA33E9"/>
    <w:rsid w:val="00DA34F0"/>
    <w:rsid w:val="00DA3799"/>
    <w:rsid w:val="00DA38CD"/>
    <w:rsid w:val="00DA3DBF"/>
    <w:rsid w:val="00DA404B"/>
    <w:rsid w:val="00DA436B"/>
    <w:rsid w:val="00DA43E7"/>
    <w:rsid w:val="00DA470F"/>
    <w:rsid w:val="00DA475E"/>
    <w:rsid w:val="00DA477C"/>
    <w:rsid w:val="00DA481C"/>
    <w:rsid w:val="00DA4AA9"/>
    <w:rsid w:val="00DA4FA2"/>
    <w:rsid w:val="00DA529B"/>
    <w:rsid w:val="00DA545A"/>
    <w:rsid w:val="00DA55AE"/>
    <w:rsid w:val="00DA55C7"/>
    <w:rsid w:val="00DA5A40"/>
    <w:rsid w:val="00DA608F"/>
    <w:rsid w:val="00DA62F4"/>
    <w:rsid w:val="00DA634A"/>
    <w:rsid w:val="00DA64A5"/>
    <w:rsid w:val="00DA6548"/>
    <w:rsid w:val="00DA6AA7"/>
    <w:rsid w:val="00DA6AB1"/>
    <w:rsid w:val="00DA6C5D"/>
    <w:rsid w:val="00DA6E80"/>
    <w:rsid w:val="00DB0127"/>
    <w:rsid w:val="00DB041D"/>
    <w:rsid w:val="00DB0797"/>
    <w:rsid w:val="00DB09C3"/>
    <w:rsid w:val="00DB0E1D"/>
    <w:rsid w:val="00DB0FDC"/>
    <w:rsid w:val="00DB14B0"/>
    <w:rsid w:val="00DB14F6"/>
    <w:rsid w:val="00DB1FB7"/>
    <w:rsid w:val="00DB2042"/>
    <w:rsid w:val="00DB2399"/>
    <w:rsid w:val="00DB2428"/>
    <w:rsid w:val="00DB26E0"/>
    <w:rsid w:val="00DB27AB"/>
    <w:rsid w:val="00DB3219"/>
    <w:rsid w:val="00DB32F7"/>
    <w:rsid w:val="00DB34C1"/>
    <w:rsid w:val="00DB34FA"/>
    <w:rsid w:val="00DB36D8"/>
    <w:rsid w:val="00DB37F0"/>
    <w:rsid w:val="00DB3CAD"/>
    <w:rsid w:val="00DB4144"/>
    <w:rsid w:val="00DB4361"/>
    <w:rsid w:val="00DB43D8"/>
    <w:rsid w:val="00DB50C8"/>
    <w:rsid w:val="00DB5751"/>
    <w:rsid w:val="00DB5758"/>
    <w:rsid w:val="00DB582C"/>
    <w:rsid w:val="00DB5A4A"/>
    <w:rsid w:val="00DB60A6"/>
    <w:rsid w:val="00DB6BC0"/>
    <w:rsid w:val="00DB74AF"/>
    <w:rsid w:val="00DB7BDF"/>
    <w:rsid w:val="00DB7D10"/>
    <w:rsid w:val="00DC0305"/>
    <w:rsid w:val="00DC0A84"/>
    <w:rsid w:val="00DC0B28"/>
    <w:rsid w:val="00DC0CCA"/>
    <w:rsid w:val="00DC0FD4"/>
    <w:rsid w:val="00DC10F3"/>
    <w:rsid w:val="00DC112D"/>
    <w:rsid w:val="00DC12B1"/>
    <w:rsid w:val="00DC13B5"/>
    <w:rsid w:val="00DC1563"/>
    <w:rsid w:val="00DC1AFB"/>
    <w:rsid w:val="00DC1CE1"/>
    <w:rsid w:val="00DC1D22"/>
    <w:rsid w:val="00DC2039"/>
    <w:rsid w:val="00DC210A"/>
    <w:rsid w:val="00DC235A"/>
    <w:rsid w:val="00DC2398"/>
    <w:rsid w:val="00DC27EE"/>
    <w:rsid w:val="00DC2919"/>
    <w:rsid w:val="00DC2B36"/>
    <w:rsid w:val="00DC2E29"/>
    <w:rsid w:val="00DC3042"/>
    <w:rsid w:val="00DC31CD"/>
    <w:rsid w:val="00DC335E"/>
    <w:rsid w:val="00DC33AD"/>
    <w:rsid w:val="00DC33D0"/>
    <w:rsid w:val="00DC34B6"/>
    <w:rsid w:val="00DC39F7"/>
    <w:rsid w:val="00DC3C20"/>
    <w:rsid w:val="00DC3C58"/>
    <w:rsid w:val="00DC3C6E"/>
    <w:rsid w:val="00DC3CD2"/>
    <w:rsid w:val="00DC403F"/>
    <w:rsid w:val="00DC420E"/>
    <w:rsid w:val="00DC4833"/>
    <w:rsid w:val="00DC4EDA"/>
    <w:rsid w:val="00DC5173"/>
    <w:rsid w:val="00DC5184"/>
    <w:rsid w:val="00DC5501"/>
    <w:rsid w:val="00DC57B2"/>
    <w:rsid w:val="00DC5B6A"/>
    <w:rsid w:val="00DC615B"/>
    <w:rsid w:val="00DC6230"/>
    <w:rsid w:val="00DC65B9"/>
    <w:rsid w:val="00DC70BE"/>
    <w:rsid w:val="00DC7763"/>
    <w:rsid w:val="00DC7A4C"/>
    <w:rsid w:val="00DC7B47"/>
    <w:rsid w:val="00DC7F80"/>
    <w:rsid w:val="00DD012E"/>
    <w:rsid w:val="00DD03DD"/>
    <w:rsid w:val="00DD064E"/>
    <w:rsid w:val="00DD0AFF"/>
    <w:rsid w:val="00DD0F92"/>
    <w:rsid w:val="00DD103C"/>
    <w:rsid w:val="00DD1063"/>
    <w:rsid w:val="00DD1876"/>
    <w:rsid w:val="00DD1BAB"/>
    <w:rsid w:val="00DD1D25"/>
    <w:rsid w:val="00DD1D35"/>
    <w:rsid w:val="00DD21A4"/>
    <w:rsid w:val="00DD2766"/>
    <w:rsid w:val="00DD27BC"/>
    <w:rsid w:val="00DD28A8"/>
    <w:rsid w:val="00DD2ED0"/>
    <w:rsid w:val="00DD3052"/>
    <w:rsid w:val="00DD315F"/>
    <w:rsid w:val="00DD3161"/>
    <w:rsid w:val="00DD3274"/>
    <w:rsid w:val="00DD365A"/>
    <w:rsid w:val="00DD38C5"/>
    <w:rsid w:val="00DD44E2"/>
    <w:rsid w:val="00DD450B"/>
    <w:rsid w:val="00DD48F4"/>
    <w:rsid w:val="00DD4A09"/>
    <w:rsid w:val="00DD4C3B"/>
    <w:rsid w:val="00DD4D35"/>
    <w:rsid w:val="00DD596E"/>
    <w:rsid w:val="00DD5CF8"/>
    <w:rsid w:val="00DD5FA3"/>
    <w:rsid w:val="00DD623F"/>
    <w:rsid w:val="00DD714F"/>
    <w:rsid w:val="00DD7243"/>
    <w:rsid w:val="00DD74C6"/>
    <w:rsid w:val="00DD7575"/>
    <w:rsid w:val="00DD7AD0"/>
    <w:rsid w:val="00DD7D0A"/>
    <w:rsid w:val="00DD7DD1"/>
    <w:rsid w:val="00DE01EA"/>
    <w:rsid w:val="00DE07CC"/>
    <w:rsid w:val="00DE0FE4"/>
    <w:rsid w:val="00DE1156"/>
    <w:rsid w:val="00DE1435"/>
    <w:rsid w:val="00DE1466"/>
    <w:rsid w:val="00DE15AB"/>
    <w:rsid w:val="00DE1763"/>
    <w:rsid w:val="00DE1C70"/>
    <w:rsid w:val="00DE24EB"/>
    <w:rsid w:val="00DE25AA"/>
    <w:rsid w:val="00DE2C5B"/>
    <w:rsid w:val="00DE2DC2"/>
    <w:rsid w:val="00DE2FE8"/>
    <w:rsid w:val="00DE3496"/>
    <w:rsid w:val="00DE4185"/>
    <w:rsid w:val="00DE44CA"/>
    <w:rsid w:val="00DE459E"/>
    <w:rsid w:val="00DE4CA4"/>
    <w:rsid w:val="00DE5F8F"/>
    <w:rsid w:val="00DE602D"/>
    <w:rsid w:val="00DE63CC"/>
    <w:rsid w:val="00DE657A"/>
    <w:rsid w:val="00DE6861"/>
    <w:rsid w:val="00DE68EC"/>
    <w:rsid w:val="00DE6959"/>
    <w:rsid w:val="00DE6C31"/>
    <w:rsid w:val="00DE6E3D"/>
    <w:rsid w:val="00DE7032"/>
    <w:rsid w:val="00DE7567"/>
    <w:rsid w:val="00DE7878"/>
    <w:rsid w:val="00DE79CD"/>
    <w:rsid w:val="00DE7F0E"/>
    <w:rsid w:val="00DF0917"/>
    <w:rsid w:val="00DF0C8A"/>
    <w:rsid w:val="00DF0F9A"/>
    <w:rsid w:val="00DF1ABA"/>
    <w:rsid w:val="00DF21DD"/>
    <w:rsid w:val="00DF24FF"/>
    <w:rsid w:val="00DF2EA0"/>
    <w:rsid w:val="00DF300F"/>
    <w:rsid w:val="00DF333E"/>
    <w:rsid w:val="00DF3409"/>
    <w:rsid w:val="00DF35B9"/>
    <w:rsid w:val="00DF3729"/>
    <w:rsid w:val="00DF374A"/>
    <w:rsid w:val="00DF38DA"/>
    <w:rsid w:val="00DF3E2C"/>
    <w:rsid w:val="00DF3E5D"/>
    <w:rsid w:val="00DF3F1C"/>
    <w:rsid w:val="00DF3F96"/>
    <w:rsid w:val="00DF40A7"/>
    <w:rsid w:val="00DF4256"/>
    <w:rsid w:val="00DF4793"/>
    <w:rsid w:val="00DF4E0F"/>
    <w:rsid w:val="00DF5015"/>
    <w:rsid w:val="00DF5330"/>
    <w:rsid w:val="00DF54F8"/>
    <w:rsid w:val="00DF5801"/>
    <w:rsid w:val="00DF5AB8"/>
    <w:rsid w:val="00DF5C25"/>
    <w:rsid w:val="00DF5C34"/>
    <w:rsid w:val="00DF5D09"/>
    <w:rsid w:val="00DF5D7B"/>
    <w:rsid w:val="00DF6084"/>
    <w:rsid w:val="00DF61BF"/>
    <w:rsid w:val="00DF6332"/>
    <w:rsid w:val="00DF6899"/>
    <w:rsid w:val="00DF692A"/>
    <w:rsid w:val="00DF6ACE"/>
    <w:rsid w:val="00DF6B58"/>
    <w:rsid w:val="00DF6D5D"/>
    <w:rsid w:val="00DF6DD9"/>
    <w:rsid w:val="00DF6FA0"/>
    <w:rsid w:val="00DF7021"/>
    <w:rsid w:val="00DF7C46"/>
    <w:rsid w:val="00DF7D7E"/>
    <w:rsid w:val="00DF7EB8"/>
    <w:rsid w:val="00E0006F"/>
    <w:rsid w:val="00E0010F"/>
    <w:rsid w:val="00E011A7"/>
    <w:rsid w:val="00E013DD"/>
    <w:rsid w:val="00E01454"/>
    <w:rsid w:val="00E01888"/>
    <w:rsid w:val="00E018BA"/>
    <w:rsid w:val="00E0191E"/>
    <w:rsid w:val="00E01CBB"/>
    <w:rsid w:val="00E01E62"/>
    <w:rsid w:val="00E020D5"/>
    <w:rsid w:val="00E02596"/>
    <w:rsid w:val="00E02A23"/>
    <w:rsid w:val="00E033A6"/>
    <w:rsid w:val="00E03770"/>
    <w:rsid w:val="00E03CAB"/>
    <w:rsid w:val="00E04207"/>
    <w:rsid w:val="00E04318"/>
    <w:rsid w:val="00E048FA"/>
    <w:rsid w:val="00E04956"/>
    <w:rsid w:val="00E04CEC"/>
    <w:rsid w:val="00E04DF4"/>
    <w:rsid w:val="00E05201"/>
    <w:rsid w:val="00E05438"/>
    <w:rsid w:val="00E054DA"/>
    <w:rsid w:val="00E05519"/>
    <w:rsid w:val="00E0551E"/>
    <w:rsid w:val="00E05574"/>
    <w:rsid w:val="00E056F2"/>
    <w:rsid w:val="00E05845"/>
    <w:rsid w:val="00E05DAE"/>
    <w:rsid w:val="00E05E21"/>
    <w:rsid w:val="00E05E63"/>
    <w:rsid w:val="00E05E6F"/>
    <w:rsid w:val="00E05E7E"/>
    <w:rsid w:val="00E05F6C"/>
    <w:rsid w:val="00E061EB"/>
    <w:rsid w:val="00E06393"/>
    <w:rsid w:val="00E066AC"/>
    <w:rsid w:val="00E0673D"/>
    <w:rsid w:val="00E06A8C"/>
    <w:rsid w:val="00E06BC0"/>
    <w:rsid w:val="00E07038"/>
    <w:rsid w:val="00E07079"/>
    <w:rsid w:val="00E0735D"/>
    <w:rsid w:val="00E07460"/>
    <w:rsid w:val="00E074DB"/>
    <w:rsid w:val="00E07556"/>
    <w:rsid w:val="00E07B44"/>
    <w:rsid w:val="00E07BE5"/>
    <w:rsid w:val="00E07FC4"/>
    <w:rsid w:val="00E100B9"/>
    <w:rsid w:val="00E1022C"/>
    <w:rsid w:val="00E102B3"/>
    <w:rsid w:val="00E103FE"/>
    <w:rsid w:val="00E1066A"/>
    <w:rsid w:val="00E107BC"/>
    <w:rsid w:val="00E109E9"/>
    <w:rsid w:val="00E10A09"/>
    <w:rsid w:val="00E10BAC"/>
    <w:rsid w:val="00E10C40"/>
    <w:rsid w:val="00E11322"/>
    <w:rsid w:val="00E1148E"/>
    <w:rsid w:val="00E1167A"/>
    <w:rsid w:val="00E11712"/>
    <w:rsid w:val="00E11B42"/>
    <w:rsid w:val="00E12213"/>
    <w:rsid w:val="00E124C3"/>
    <w:rsid w:val="00E125FB"/>
    <w:rsid w:val="00E12A20"/>
    <w:rsid w:val="00E13197"/>
    <w:rsid w:val="00E131EA"/>
    <w:rsid w:val="00E1341D"/>
    <w:rsid w:val="00E13512"/>
    <w:rsid w:val="00E13B2C"/>
    <w:rsid w:val="00E13DD6"/>
    <w:rsid w:val="00E141CC"/>
    <w:rsid w:val="00E146C9"/>
    <w:rsid w:val="00E14D9A"/>
    <w:rsid w:val="00E154FF"/>
    <w:rsid w:val="00E156C0"/>
    <w:rsid w:val="00E156DC"/>
    <w:rsid w:val="00E15705"/>
    <w:rsid w:val="00E15850"/>
    <w:rsid w:val="00E15DA2"/>
    <w:rsid w:val="00E160B7"/>
    <w:rsid w:val="00E1642A"/>
    <w:rsid w:val="00E16505"/>
    <w:rsid w:val="00E167FF"/>
    <w:rsid w:val="00E16819"/>
    <w:rsid w:val="00E16820"/>
    <w:rsid w:val="00E16827"/>
    <w:rsid w:val="00E16A3B"/>
    <w:rsid w:val="00E17209"/>
    <w:rsid w:val="00E1739F"/>
    <w:rsid w:val="00E1767E"/>
    <w:rsid w:val="00E17EEE"/>
    <w:rsid w:val="00E17F6E"/>
    <w:rsid w:val="00E2002B"/>
    <w:rsid w:val="00E201F0"/>
    <w:rsid w:val="00E202F4"/>
    <w:rsid w:val="00E20464"/>
    <w:rsid w:val="00E22047"/>
    <w:rsid w:val="00E224ED"/>
    <w:rsid w:val="00E22911"/>
    <w:rsid w:val="00E22995"/>
    <w:rsid w:val="00E22B13"/>
    <w:rsid w:val="00E23330"/>
    <w:rsid w:val="00E233EF"/>
    <w:rsid w:val="00E2355D"/>
    <w:rsid w:val="00E23B04"/>
    <w:rsid w:val="00E23D16"/>
    <w:rsid w:val="00E24016"/>
    <w:rsid w:val="00E242FC"/>
    <w:rsid w:val="00E24358"/>
    <w:rsid w:val="00E243A3"/>
    <w:rsid w:val="00E246E7"/>
    <w:rsid w:val="00E248D2"/>
    <w:rsid w:val="00E249D6"/>
    <w:rsid w:val="00E254C9"/>
    <w:rsid w:val="00E258F4"/>
    <w:rsid w:val="00E25A82"/>
    <w:rsid w:val="00E25D2A"/>
    <w:rsid w:val="00E25DCC"/>
    <w:rsid w:val="00E261C7"/>
    <w:rsid w:val="00E26517"/>
    <w:rsid w:val="00E26576"/>
    <w:rsid w:val="00E26733"/>
    <w:rsid w:val="00E26D0F"/>
    <w:rsid w:val="00E270B2"/>
    <w:rsid w:val="00E2750E"/>
    <w:rsid w:val="00E277CA"/>
    <w:rsid w:val="00E278CE"/>
    <w:rsid w:val="00E27A02"/>
    <w:rsid w:val="00E27F7F"/>
    <w:rsid w:val="00E30200"/>
    <w:rsid w:val="00E30659"/>
    <w:rsid w:val="00E30A02"/>
    <w:rsid w:val="00E30BB0"/>
    <w:rsid w:val="00E30C78"/>
    <w:rsid w:val="00E30D00"/>
    <w:rsid w:val="00E30D91"/>
    <w:rsid w:val="00E31908"/>
    <w:rsid w:val="00E3192E"/>
    <w:rsid w:val="00E31ACA"/>
    <w:rsid w:val="00E31B46"/>
    <w:rsid w:val="00E31B59"/>
    <w:rsid w:val="00E31C1E"/>
    <w:rsid w:val="00E31EA3"/>
    <w:rsid w:val="00E320BF"/>
    <w:rsid w:val="00E32E14"/>
    <w:rsid w:val="00E33515"/>
    <w:rsid w:val="00E337C7"/>
    <w:rsid w:val="00E33A97"/>
    <w:rsid w:val="00E33AD8"/>
    <w:rsid w:val="00E34244"/>
    <w:rsid w:val="00E34367"/>
    <w:rsid w:val="00E344F2"/>
    <w:rsid w:val="00E34518"/>
    <w:rsid w:val="00E3454E"/>
    <w:rsid w:val="00E34D08"/>
    <w:rsid w:val="00E34FAB"/>
    <w:rsid w:val="00E3534F"/>
    <w:rsid w:val="00E3544E"/>
    <w:rsid w:val="00E3568A"/>
    <w:rsid w:val="00E3570B"/>
    <w:rsid w:val="00E35F47"/>
    <w:rsid w:val="00E36011"/>
    <w:rsid w:val="00E36106"/>
    <w:rsid w:val="00E3647C"/>
    <w:rsid w:val="00E36903"/>
    <w:rsid w:val="00E37001"/>
    <w:rsid w:val="00E370EB"/>
    <w:rsid w:val="00E377F6"/>
    <w:rsid w:val="00E37969"/>
    <w:rsid w:val="00E37C10"/>
    <w:rsid w:val="00E37C25"/>
    <w:rsid w:val="00E400DF"/>
    <w:rsid w:val="00E400F6"/>
    <w:rsid w:val="00E4038F"/>
    <w:rsid w:val="00E40F33"/>
    <w:rsid w:val="00E4155E"/>
    <w:rsid w:val="00E41691"/>
    <w:rsid w:val="00E41724"/>
    <w:rsid w:val="00E41CF5"/>
    <w:rsid w:val="00E41DE4"/>
    <w:rsid w:val="00E423A0"/>
    <w:rsid w:val="00E4266B"/>
    <w:rsid w:val="00E427D9"/>
    <w:rsid w:val="00E42897"/>
    <w:rsid w:val="00E42B1E"/>
    <w:rsid w:val="00E42D3D"/>
    <w:rsid w:val="00E42D4B"/>
    <w:rsid w:val="00E4334A"/>
    <w:rsid w:val="00E434C0"/>
    <w:rsid w:val="00E43622"/>
    <w:rsid w:val="00E43675"/>
    <w:rsid w:val="00E43787"/>
    <w:rsid w:val="00E454CD"/>
    <w:rsid w:val="00E457E4"/>
    <w:rsid w:val="00E45EBD"/>
    <w:rsid w:val="00E460DF"/>
    <w:rsid w:val="00E461B7"/>
    <w:rsid w:val="00E466BD"/>
    <w:rsid w:val="00E46AF4"/>
    <w:rsid w:val="00E46DDC"/>
    <w:rsid w:val="00E46EC3"/>
    <w:rsid w:val="00E46FFD"/>
    <w:rsid w:val="00E47248"/>
    <w:rsid w:val="00E472CC"/>
    <w:rsid w:val="00E4735D"/>
    <w:rsid w:val="00E47635"/>
    <w:rsid w:val="00E476B2"/>
    <w:rsid w:val="00E47B52"/>
    <w:rsid w:val="00E47F14"/>
    <w:rsid w:val="00E503E7"/>
    <w:rsid w:val="00E505BD"/>
    <w:rsid w:val="00E5072E"/>
    <w:rsid w:val="00E50776"/>
    <w:rsid w:val="00E51536"/>
    <w:rsid w:val="00E516EB"/>
    <w:rsid w:val="00E5177D"/>
    <w:rsid w:val="00E5190A"/>
    <w:rsid w:val="00E51A0C"/>
    <w:rsid w:val="00E51A3D"/>
    <w:rsid w:val="00E51CC2"/>
    <w:rsid w:val="00E51DBD"/>
    <w:rsid w:val="00E51F66"/>
    <w:rsid w:val="00E520D7"/>
    <w:rsid w:val="00E526EA"/>
    <w:rsid w:val="00E52738"/>
    <w:rsid w:val="00E52B7C"/>
    <w:rsid w:val="00E52C94"/>
    <w:rsid w:val="00E53026"/>
    <w:rsid w:val="00E53104"/>
    <w:rsid w:val="00E532AD"/>
    <w:rsid w:val="00E53983"/>
    <w:rsid w:val="00E53D55"/>
    <w:rsid w:val="00E53FA0"/>
    <w:rsid w:val="00E545D5"/>
    <w:rsid w:val="00E54616"/>
    <w:rsid w:val="00E549DD"/>
    <w:rsid w:val="00E54A44"/>
    <w:rsid w:val="00E54B7A"/>
    <w:rsid w:val="00E54BD2"/>
    <w:rsid w:val="00E54C5B"/>
    <w:rsid w:val="00E54F19"/>
    <w:rsid w:val="00E54F95"/>
    <w:rsid w:val="00E556DC"/>
    <w:rsid w:val="00E55A0F"/>
    <w:rsid w:val="00E55D24"/>
    <w:rsid w:val="00E563B5"/>
    <w:rsid w:val="00E56810"/>
    <w:rsid w:val="00E56B7C"/>
    <w:rsid w:val="00E56E8E"/>
    <w:rsid w:val="00E56EAF"/>
    <w:rsid w:val="00E5764E"/>
    <w:rsid w:val="00E5774B"/>
    <w:rsid w:val="00E57791"/>
    <w:rsid w:val="00E577E0"/>
    <w:rsid w:val="00E57E92"/>
    <w:rsid w:val="00E60129"/>
    <w:rsid w:val="00E60285"/>
    <w:rsid w:val="00E6048B"/>
    <w:rsid w:val="00E607FA"/>
    <w:rsid w:val="00E6090B"/>
    <w:rsid w:val="00E60A1D"/>
    <w:rsid w:val="00E60BE9"/>
    <w:rsid w:val="00E60C22"/>
    <w:rsid w:val="00E60CFC"/>
    <w:rsid w:val="00E60FBD"/>
    <w:rsid w:val="00E6193B"/>
    <w:rsid w:val="00E61C35"/>
    <w:rsid w:val="00E621E2"/>
    <w:rsid w:val="00E625A6"/>
    <w:rsid w:val="00E62A5C"/>
    <w:rsid w:val="00E63129"/>
    <w:rsid w:val="00E63B35"/>
    <w:rsid w:val="00E63CB6"/>
    <w:rsid w:val="00E63EDD"/>
    <w:rsid w:val="00E642AA"/>
    <w:rsid w:val="00E64315"/>
    <w:rsid w:val="00E64476"/>
    <w:rsid w:val="00E64A5E"/>
    <w:rsid w:val="00E65187"/>
    <w:rsid w:val="00E65269"/>
    <w:rsid w:val="00E654D7"/>
    <w:rsid w:val="00E654FA"/>
    <w:rsid w:val="00E65547"/>
    <w:rsid w:val="00E6590F"/>
    <w:rsid w:val="00E65D11"/>
    <w:rsid w:val="00E66907"/>
    <w:rsid w:val="00E669CF"/>
    <w:rsid w:val="00E66AE7"/>
    <w:rsid w:val="00E66C4A"/>
    <w:rsid w:val="00E66F10"/>
    <w:rsid w:val="00E67A4D"/>
    <w:rsid w:val="00E67C97"/>
    <w:rsid w:val="00E70097"/>
    <w:rsid w:val="00E7029B"/>
    <w:rsid w:val="00E7030B"/>
    <w:rsid w:val="00E703AF"/>
    <w:rsid w:val="00E708E5"/>
    <w:rsid w:val="00E70B21"/>
    <w:rsid w:val="00E710B1"/>
    <w:rsid w:val="00E71111"/>
    <w:rsid w:val="00E71D06"/>
    <w:rsid w:val="00E71DF6"/>
    <w:rsid w:val="00E7292A"/>
    <w:rsid w:val="00E72995"/>
    <w:rsid w:val="00E72A2C"/>
    <w:rsid w:val="00E72C26"/>
    <w:rsid w:val="00E72ED8"/>
    <w:rsid w:val="00E731B8"/>
    <w:rsid w:val="00E73413"/>
    <w:rsid w:val="00E73681"/>
    <w:rsid w:val="00E73C49"/>
    <w:rsid w:val="00E73D6F"/>
    <w:rsid w:val="00E74312"/>
    <w:rsid w:val="00E744CE"/>
    <w:rsid w:val="00E74DEC"/>
    <w:rsid w:val="00E752A4"/>
    <w:rsid w:val="00E7560C"/>
    <w:rsid w:val="00E75A3C"/>
    <w:rsid w:val="00E75C44"/>
    <w:rsid w:val="00E76292"/>
    <w:rsid w:val="00E76529"/>
    <w:rsid w:val="00E766E8"/>
    <w:rsid w:val="00E767B1"/>
    <w:rsid w:val="00E76DE6"/>
    <w:rsid w:val="00E77103"/>
    <w:rsid w:val="00E77149"/>
    <w:rsid w:val="00E772D8"/>
    <w:rsid w:val="00E77387"/>
    <w:rsid w:val="00E775BF"/>
    <w:rsid w:val="00E77C67"/>
    <w:rsid w:val="00E77D48"/>
    <w:rsid w:val="00E801B0"/>
    <w:rsid w:val="00E804A7"/>
    <w:rsid w:val="00E80954"/>
    <w:rsid w:val="00E81573"/>
    <w:rsid w:val="00E81A52"/>
    <w:rsid w:val="00E81F6B"/>
    <w:rsid w:val="00E828FA"/>
    <w:rsid w:val="00E82B20"/>
    <w:rsid w:val="00E82EFA"/>
    <w:rsid w:val="00E83395"/>
    <w:rsid w:val="00E836EA"/>
    <w:rsid w:val="00E83837"/>
    <w:rsid w:val="00E83B3E"/>
    <w:rsid w:val="00E83EF7"/>
    <w:rsid w:val="00E84414"/>
    <w:rsid w:val="00E8442F"/>
    <w:rsid w:val="00E84715"/>
    <w:rsid w:val="00E84C9D"/>
    <w:rsid w:val="00E84ECF"/>
    <w:rsid w:val="00E851EB"/>
    <w:rsid w:val="00E859FE"/>
    <w:rsid w:val="00E86211"/>
    <w:rsid w:val="00E862A3"/>
    <w:rsid w:val="00E86B9B"/>
    <w:rsid w:val="00E86BCA"/>
    <w:rsid w:val="00E8754F"/>
    <w:rsid w:val="00E87619"/>
    <w:rsid w:val="00E9000F"/>
    <w:rsid w:val="00E906F1"/>
    <w:rsid w:val="00E90703"/>
    <w:rsid w:val="00E90DDB"/>
    <w:rsid w:val="00E90F93"/>
    <w:rsid w:val="00E91782"/>
    <w:rsid w:val="00E91BA3"/>
    <w:rsid w:val="00E9205A"/>
    <w:rsid w:val="00E92414"/>
    <w:rsid w:val="00E92460"/>
    <w:rsid w:val="00E92581"/>
    <w:rsid w:val="00E92639"/>
    <w:rsid w:val="00E92686"/>
    <w:rsid w:val="00E933C3"/>
    <w:rsid w:val="00E9363D"/>
    <w:rsid w:val="00E93DA2"/>
    <w:rsid w:val="00E93DEF"/>
    <w:rsid w:val="00E93FDB"/>
    <w:rsid w:val="00E94436"/>
    <w:rsid w:val="00E94A76"/>
    <w:rsid w:val="00E95183"/>
    <w:rsid w:val="00E953B6"/>
    <w:rsid w:val="00E954DC"/>
    <w:rsid w:val="00E9559D"/>
    <w:rsid w:val="00E9584A"/>
    <w:rsid w:val="00E95ACE"/>
    <w:rsid w:val="00E95D7B"/>
    <w:rsid w:val="00E95ED4"/>
    <w:rsid w:val="00E965DC"/>
    <w:rsid w:val="00E965FD"/>
    <w:rsid w:val="00E96676"/>
    <w:rsid w:val="00E9691A"/>
    <w:rsid w:val="00E96CF0"/>
    <w:rsid w:val="00E96E2A"/>
    <w:rsid w:val="00E9789F"/>
    <w:rsid w:val="00E97919"/>
    <w:rsid w:val="00E97C20"/>
    <w:rsid w:val="00EA01D9"/>
    <w:rsid w:val="00EA038D"/>
    <w:rsid w:val="00EA0823"/>
    <w:rsid w:val="00EA1299"/>
    <w:rsid w:val="00EA136F"/>
    <w:rsid w:val="00EA1429"/>
    <w:rsid w:val="00EA1A71"/>
    <w:rsid w:val="00EA1C3E"/>
    <w:rsid w:val="00EA1F0C"/>
    <w:rsid w:val="00EA236A"/>
    <w:rsid w:val="00EA2420"/>
    <w:rsid w:val="00EA2E46"/>
    <w:rsid w:val="00EA2F22"/>
    <w:rsid w:val="00EA3548"/>
    <w:rsid w:val="00EA357F"/>
    <w:rsid w:val="00EA370C"/>
    <w:rsid w:val="00EA3B60"/>
    <w:rsid w:val="00EA3B6B"/>
    <w:rsid w:val="00EA3CB1"/>
    <w:rsid w:val="00EA3D17"/>
    <w:rsid w:val="00EA4461"/>
    <w:rsid w:val="00EA46D8"/>
    <w:rsid w:val="00EA480C"/>
    <w:rsid w:val="00EA48CC"/>
    <w:rsid w:val="00EA4957"/>
    <w:rsid w:val="00EA4A61"/>
    <w:rsid w:val="00EA4AB1"/>
    <w:rsid w:val="00EA4B61"/>
    <w:rsid w:val="00EA4D7E"/>
    <w:rsid w:val="00EA4FCE"/>
    <w:rsid w:val="00EA4FD9"/>
    <w:rsid w:val="00EA537A"/>
    <w:rsid w:val="00EA5CA0"/>
    <w:rsid w:val="00EA5DD6"/>
    <w:rsid w:val="00EA6293"/>
    <w:rsid w:val="00EA6610"/>
    <w:rsid w:val="00EA690E"/>
    <w:rsid w:val="00EA69F2"/>
    <w:rsid w:val="00EA6B2A"/>
    <w:rsid w:val="00EA71DC"/>
    <w:rsid w:val="00EA7858"/>
    <w:rsid w:val="00EA7ACC"/>
    <w:rsid w:val="00EA7BA4"/>
    <w:rsid w:val="00EB029F"/>
    <w:rsid w:val="00EB03FC"/>
    <w:rsid w:val="00EB108A"/>
    <w:rsid w:val="00EB1A9B"/>
    <w:rsid w:val="00EB1B44"/>
    <w:rsid w:val="00EB1B5F"/>
    <w:rsid w:val="00EB1CF8"/>
    <w:rsid w:val="00EB2105"/>
    <w:rsid w:val="00EB2696"/>
    <w:rsid w:val="00EB296B"/>
    <w:rsid w:val="00EB2BD4"/>
    <w:rsid w:val="00EB2E78"/>
    <w:rsid w:val="00EB2F94"/>
    <w:rsid w:val="00EB32BD"/>
    <w:rsid w:val="00EB337E"/>
    <w:rsid w:val="00EB39CD"/>
    <w:rsid w:val="00EB3A10"/>
    <w:rsid w:val="00EB3C7B"/>
    <w:rsid w:val="00EB4288"/>
    <w:rsid w:val="00EB434D"/>
    <w:rsid w:val="00EB4781"/>
    <w:rsid w:val="00EB47EC"/>
    <w:rsid w:val="00EB495D"/>
    <w:rsid w:val="00EB49FD"/>
    <w:rsid w:val="00EB537A"/>
    <w:rsid w:val="00EB5513"/>
    <w:rsid w:val="00EB55AE"/>
    <w:rsid w:val="00EB55DB"/>
    <w:rsid w:val="00EB57C1"/>
    <w:rsid w:val="00EB597F"/>
    <w:rsid w:val="00EB5D19"/>
    <w:rsid w:val="00EB5E17"/>
    <w:rsid w:val="00EB6358"/>
    <w:rsid w:val="00EB6374"/>
    <w:rsid w:val="00EB63F0"/>
    <w:rsid w:val="00EB6491"/>
    <w:rsid w:val="00EB65FB"/>
    <w:rsid w:val="00EB6722"/>
    <w:rsid w:val="00EB7650"/>
    <w:rsid w:val="00EB7996"/>
    <w:rsid w:val="00EC016C"/>
    <w:rsid w:val="00EC06C5"/>
    <w:rsid w:val="00EC0787"/>
    <w:rsid w:val="00EC09D9"/>
    <w:rsid w:val="00EC0CC8"/>
    <w:rsid w:val="00EC0D6F"/>
    <w:rsid w:val="00EC0E0D"/>
    <w:rsid w:val="00EC0E80"/>
    <w:rsid w:val="00EC1072"/>
    <w:rsid w:val="00EC1199"/>
    <w:rsid w:val="00EC13A1"/>
    <w:rsid w:val="00EC18BE"/>
    <w:rsid w:val="00EC19EC"/>
    <w:rsid w:val="00EC2454"/>
    <w:rsid w:val="00EC26D3"/>
    <w:rsid w:val="00EC288C"/>
    <w:rsid w:val="00EC2B1E"/>
    <w:rsid w:val="00EC2CBC"/>
    <w:rsid w:val="00EC3729"/>
    <w:rsid w:val="00EC3C4F"/>
    <w:rsid w:val="00EC3D2B"/>
    <w:rsid w:val="00EC3D30"/>
    <w:rsid w:val="00EC44F6"/>
    <w:rsid w:val="00EC4976"/>
    <w:rsid w:val="00EC549A"/>
    <w:rsid w:val="00EC54EC"/>
    <w:rsid w:val="00EC57AF"/>
    <w:rsid w:val="00EC58A4"/>
    <w:rsid w:val="00EC5BEB"/>
    <w:rsid w:val="00EC614F"/>
    <w:rsid w:val="00EC6794"/>
    <w:rsid w:val="00EC67EC"/>
    <w:rsid w:val="00EC6BB0"/>
    <w:rsid w:val="00EC6F07"/>
    <w:rsid w:val="00EC6FBE"/>
    <w:rsid w:val="00EC713E"/>
    <w:rsid w:val="00EC72B0"/>
    <w:rsid w:val="00EC75ED"/>
    <w:rsid w:val="00EC7898"/>
    <w:rsid w:val="00EC7B44"/>
    <w:rsid w:val="00EC7E07"/>
    <w:rsid w:val="00EC7F99"/>
    <w:rsid w:val="00EC7FE6"/>
    <w:rsid w:val="00ED0011"/>
    <w:rsid w:val="00ED00CE"/>
    <w:rsid w:val="00ED058C"/>
    <w:rsid w:val="00ED075A"/>
    <w:rsid w:val="00ED09F6"/>
    <w:rsid w:val="00ED0A6A"/>
    <w:rsid w:val="00ED128D"/>
    <w:rsid w:val="00ED13EC"/>
    <w:rsid w:val="00ED15F8"/>
    <w:rsid w:val="00ED176A"/>
    <w:rsid w:val="00ED1F1E"/>
    <w:rsid w:val="00ED1F3C"/>
    <w:rsid w:val="00ED20EE"/>
    <w:rsid w:val="00ED237B"/>
    <w:rsid w:val="00ED2D35"/>
    <w:rsid w:val="00ED3139"/>
    <w:rsid w:val="00ED31EB"/>
    <w:rsid w:val="00ED3482"/>
    <w:rsid w:val="00ED348A"/>
    <w:rsid w:val="00ED3915"/>
    <w:rsid w:val="00ED3974"/>
    <w:rsid w:val="00ED3E70"/>
    <w:rsid w:val="00ED3E92"/>
    <w:rsid w:val="00ED3EB9"/>
    <w:rsid w:val="00ED456E"/>
    <w:rsid w:val="00ED46E7"/>
    <w:rsid w:val="00ED46F2"/>
    <w:rsid w:val="00ED473C"/>
    <w:rsid w:val="00ED506B"/>
    <w:rsid w:val="00ED5078"/>
    <w:rsid w:val="00ED53E8"/>
    <w:rsid w:val="00ED53EB"/>
    <w:rsid w:val="00ED5600"/>
    <w:rsid w:val="00ED57F8"/>
    <w:rsid w:val="00ED59B3"/>
    <w:rsid w:val="00ED62D3"/>
    <w:rsid w:val="00ED697F"/>
    <w:rsid w:val="00ED6D33"/>
    <w:rsid w:val="00ED6F57"/>
    <w:rsid w:val="00ED770A"/>
    <w:rsid w:val="00ED7B9B"/>
    <w:rsid w:val="00ED7E5C"/>
    <w:rsid w:val="00ED7F3C"/>
    <w:rsid w:val="00ED7FD3"/>
    <w:rsid w:val="00EE0070"/>
    <w:rsid w:val="00EE008E"/>
    <w:rsid w:val="00EE0CF3"/>
    <w:rsid w:val="00EE0D01"/>
    <w:rsid w:val="00EE1234"/>
    <w:rsid w:val="00EE138E"/>
    <w:rsid w:val="00EE15A3"/>
    <w:rsid w:val="00EE1B08"/>
    <w:rsid w:val="00EE1F1E"/>
    <w:rsid w:val="00EE1FE8"/>
    <w:rsid w:val="00EE2002"/>
    <w:rsid w:val="00EE20AA"/>
    <w:rsid w:val="00EE20E5"/>
    <w:rsid w:val="00EE22FF"/>
    <w:rsid w:val="00EE26A1"/>
    <w:rsid w:val="00EE2842"/>
    <w:rsid w:val="00EE2C0A"/>
    <w:rsid w:val="00EE2CE6"/>
    <w:rsid w:val="00EE2D2E"/>
    <w:rsid w:val="00EE32B4"/>
    <w:rsid w:val="00EE3554"/>
    <w:rsid w:val="00EE39D9"/>
    <w:rsid w:val="00EE3C4C"/>
    <w:rsid w:val="00EE415F"/>
    <w:rsid w:val="00EE4410"/>
    <w:rsid w:val="00EE4A15"/>
    <w:rsid w:val="00EE4A57"/>
    <w:rsid w:val="00EE4E1A"/>
    <w:rsid w:val="00EE5023"/>
    <w:rsid w:val="00EE51A8"/>
    <w:rsid w:val="00EE59F9"/>
    <w:rsid w:val="00EE5C53"/>
    <w:rsid w:val="00EE5E4E"/>
    <w:rsid w:val="00EE6010"/>
    <w:rsid w:val="00EE60CF"/>
    <w:rsid w:val="00EE6257"/>
    <w:rsid w:val="00EE646A"/>
    <w:rsid w:val="00EE666F"/>
    <w:rsid w:val="00EE66CE"/>
    <w:rsid w:val="00EE69BF"/>
    <w:rsid w:val="00EE6CE9"/>
    <w:rsid w:val="00EE6E79"/>
    <w:rsid w:val="00EE7A31"/>
    <w:rsid w:val="00EE7B55"/>
    <w:rsid w:val="00EE7D2A"/>
    <w:rsid w:val="00EE7F70"/>
    <w:rsid w:val="00EF01A2"/>
    <w:rsid w:val="00EF04D4"/>
    <w:rsid w:val="00EF08DE"/>
    <w:rsid w:val="00EF0BBB"/>
    <w:rsid w:val="00EF0BE0"/>
    <w:rsid w:val="00EF0FE9"/>
    <w:rsid w:val="00EF1072"/>
    <w:rsid w:val="00EF1251"/>
    <w:rsid w:val="00EF1254"/>
    <w:rsid w:val="00EF131F"/>
    <w:rsid w:val="00EF1C24"/>
    <w:rsid w:val="00EF1C86"/>
    <w:rsid w:val="00EF1EDE"/>
    <w:rsid w:val="00EF209A"/>
    <w:rsid w:val="00EF2473"/>
    <w:rsid w:val="00EF255E"/>
    <w:rsid w:val="00EF25EB"/>
    <w:rsid w:val="00EF2794"/>
    <w:rsid w:val="00EF2906"/>
    <w:rsid w:val="00EF29F9"/>
    <w:rsid w:val="00EF2AF8"/>
    <w:rsid w:val="00EF2D32"/>
    <w:rsid w:val="00EF2FC5"/>
    <w:rsid w:val="00EF307D"/>
    <w:rsid w:val="00EF30FA"/>
    <w:rsid w:val="00EF3203"/>
    <w:rsid w:val="00EF327F"/>
    <w:rsid w:val="00EF32E8"/>
    <w:rsid w:val="00EF3320"/>
    <w:rsid w:val="00EF35BC"/>
    <w:rsid w:val="00EF370E"/>
    <w:rsid w:val="00EF379A"/>
    <w:rsid w:val="00EF38A7"/>
    <w:rsid w:val="00EF3923"/>
    <w:rsid w:val="00EF3D63"/>
    <w:rsid w:val="00EF3FEF"/>
    <w:rsid w:val="00EF446B"/>
    <w:rsid w:val="00EF456F"/>
    <w:rsid w:val="00EF4571"/>
    <w:rsid w:val="00EF4B99"/>
    <w:rsid w:val="00EF55CF"/>
    <w:rsid w:val="00EF57E5"/>
    <w:rsid w:val="00EF58FB"/>
    <w:rsid w:val="00EF58FC"/>
    <w:rsid w:val="00EF5A28"/>
    <w:rsid w:val="00EF5BA0"/>
    <w:rsid w:val="00EF5CE2"/>
    <w:rsid w:val="00EF65A9"/>
    <w:rsid w:val="00EF6905"/>
    <w:rsid w:val="00EF6985"/>
    <w:rsid w:val="00EF69BB"/>
    <w:rsid w:val="00EF6B8C"/>
    <w:rsid w:val="00EF6D24"/>
    <w:rsid w:val="00EF6E7F"/>
    <w:rsid w:val="00EF76ED"/>
    <w:rsid w:val="00EF7ED1"/>
    <w:rsid w:val="00EF7FC8"/>
    <w:rsid w:val="00F0002C"/>
    <w:rsid w:val="00F0025E"/>
    <w:rsid w:val="00F0099E"/>
    <w:rsid w:val="00F00A5C"/>
    <w:rsid w:val="00F00C42"/>
    <w:rsid w:val="00F00E28"/>
    <w:rsid w:val="00F0142C"/>
    <w:rsid w:val="00F0145B"/>
    <w:rsid w:val="00F0155B"/>
    <w:rsid w:val="00F01873"/>
    <w:rsid w:val="00F018D3"/>
    <w:rsid w:val="00F01A23"/>
    <w:rsid w:val="00F01D75"/>
    <w:rsid w:val="00F01E9A"/>
    <w:rsid w:val="00F0212E"/>
    <w:rsid w:val="00F0213B"/>
    <w:rsid w:val="00F0275D"/>
    <w:rsid w:val="00F029D4"/>
    <w:rsid w:val="00F029FC"/>
    <w:rsid w:val="00F02C61"/>
    <w:rsid w:val="00F0341B"/>
    <w:rsid w:val="00F03730"/>
    <w:rsid w:val="00F03A1C"/>
    <w:rsid w:val="00F03D96"/>
    <w:rsid w:val="00F03DDB"/>
    <w:rsid w:val="00F03F49"/>
    <w:rsid w:val="00F04119"/>
    <w:rsid w:val="00F0415F"/>
    <w:rsid w:val="00F0451C"/>
    <w:rsid w:val="00F049E5"/>
    <w:rsid w:val="00F04B95"/>
    <w:rsid w:val="00F04BC4"/>
    <w:rsid w:val="00F04C7E"/>
    <w:rsid w:val="00F05074"/>
    <w:rsid w:val="00F0540B"/>
    <w:rsid w:val="00F0557A"/>
    <w:rsid w:val="00F05586"/>
    <w:rsid w:val="00F057FF"/>
    <w:rsid w:val="00F0596B"/>
    <w:rsid w:val="00F05C50"/>
    <w:rsid w:val="00F05F8A"/>
    <w:rsid w:val="00F0627E"/>
    <w:rsid w:val="00F063EB"/>
    <w:rsid w:val="00F064AB"/>
    <w:rsid w:val="00F066CF"/>
    <w:rsid w:val="00F06F20"/>
    <w:rsid w:val="00F07885"/>
    <w:rsid w:val="00F07985"/>
    <w:rsid w:val="00F07A91"/>
    <w:rsid w:val="00F07AC2"/>
    <w:rsid w:val="00F07B91"/>
    <w:rsid w:val="00F07F40"/>
    <w:rsid w:val="00F1020A"/>
    <w:rsid w:val="00F103DD"/>
    <w:rsid w:val="00F10455"/>
    <w:rsid w:val="00F108C7"/>
    <w:rsid w:val="00F10E38"/>
    <w:rsid w:val="00F1127F"/>
    <w:rsid w:val="00F121AC"/>
    <w:rsid w:val="00F12AB4"/>
    <w:rsid w:val="00F12EBC"/>
    <w:rsid w:val="00F12F61"/>
    <w:rsid w:val="00F132B2"/>
    <w:rsid w:val="00F13345"/>
    <w:rsid w:val="00F13658"/>
    <w:rsid w:val="00F136F0"/>
    <w:rsid w:val="00F13707"/>
    <w:rsid w:val="00F1387C"/>
    <w:rsid w:val="00F13BDE"/>
    <w:rsid w:val="00F1419C"/>
    <w:rsid w:val="00F1458C"/>
    <w:rsid w:val="00F14A6A"/>
    <w:rsid w:val="00F14ED3"/>
    <w:rsid w:val="00F155C2"/>
    <w:rsid w:val="00F1572E"/>
    <w:rsid w:val="00F159C2"/>
    <w:rsid w:val="00F15BED"/>
    <w:rsid w:val="00F15CDE"/>
    <w:rsid w:val="00F15E11"/>
    <w:rsid w:val="00F16099"/>
    <w:rsid w:val="00F16A58"/>
    <w:rsid w:val="00F17536"/>
    <w:rsid w:val="00F178D7"/>
    <w:rsid w:val="00F17D4E"/>
    <w:rsid w:val="00F202E7"/>
    <w:rsid w:val="00F207A2"/>
    <w:rsid w:val="00F207AF"/>
    <w:rsid w:val="00F20D70"/>
    <w:rsid w:val="00F20F4B"/>
    <w:rsid w:val="00F21180"/>
    <w:rsid w:val="00F215DA"/>
    <w:rsid w:val="00F219AF"/>
    <w:rsid w:val="00F21E45"/>
    <w:rsid w:val="00F2212C"/>
    <w:rsid w:val="00F2262A"/>
    <w:rsid w:val="00F22913"/>
    <w:rsid w:val="00F22C60"/>
    <w:rsid w:val="00F22C6A"/>
    <w:rsid w:val="00F23759"/>
    <w:rsid w:val="00F24084"/>
    <w:rsid w:val="00F24145"/>
    <w:rsid w:val="00F24610"/>
    <w:rsid w:val="00F2473A"/>
    <w:rsid w:val="00F24880"/>
    <w:rsid w:val="00F24A80"/>
    <w:rsid w:val="00F24BC8"/>
    <w:rsid w:val="00F24E17"/>
    <w:rsid w:val="00F24F67"/>
    <w:rsid w:val="00F25102"/>
    <w:rsid w:val="00F25495"/>
    <w:rsid w:val="00F256FB"/>
    <w:rsid w:val="00F25979"/>
    <w:rsid w:val="00F25B94"/>
    <w:rsid w:val="00F2605E"/>
    <w:rsid w:val="00F2613F"/>
    <w:rsid w:val="00F261FE"/>
    <w:rsid w:val="00F2634D"/>
    <w:rsid w:val="00F263D8"/>
    <w:rsid w:val="00F266F3"/>
    <w:rsid w:val="00F26CB9"/>
    <w:rsid w:val="00F26E11"/>
    <w:rsid w:val="00F26ECB"/>
    <w:rsid w:val="00F2731F"/>
    <w:rsid w:val="00F27636"/>
    <w:rsid w:val="00F27C6E"/>
    <w:rsid w:val="00F300BD"/>
    <w:rsid w:val="00F30462"/>
    <w:rsid w:val="00F30A98"/>
    <w:rsid w:val="00F30D7D"/>
    <w:rsid w:val="00F30F2E"/>
    <w:rsid w:val="00F31149"/>
    <w:rsid w:val="00F3118D"/>
    <w:rsid w:val="00F313CB"/>
    <w:rsid w:val="00F31C09"/>
    <w:rsid w:val="00F31D1F"/>
    <w:rsid w:val="00F31E92"/>
    <w:rsid w:val="00F325F8"/>
    <w:rsid w:val="00F325F9"/>
    <w:rsid w:val="00F32970"/>
    <w:rsid w:val="00F32A1D"/>
    <w:rsid w:val="00F32C88"/>
    <w:rsid w:val="00F332EE"/>
    <w:rsid w:val="00F333A1"/>
    <w:rsid w:val="00F33958"/>
    <w:rsid w:val="00F33BC3"/>
    <w:rsid w:val="00F33FB2"/>
    <w:rsid w:val="00F3458A"/>
    <w:rsid w:val="00F347FD"/>
    <w:rsid w:val="00F34E22"/>
    <w:rsid w:val="00F350BD"/>
    <w:rsid w:val="00F35723"/>
    <w:rsid w:val="00F35A18"/>
    <w:rsid w:val="00F35E78"/>
    <w:rsid w:val="00F36134"/>
    <w:rsid w:val="00F36434"/>
    <w:rsid w:val="00F36546"/>
    <w:rsid w:val="00F366A5"/>
    <w:rsid w:val="00F367DB"/>
    <w:rsid w:val="00F36D9B"/>
    <w:rsid w:val="00F36E3A"/>
    <w:rsid w:val="00F37134"/>
    <w:rsid w:val="00F374DA"/>
    <w:rsid w:val="00F374E1"/>
    <w:rsid w:val="00F37ED8"/>
    <w:rsid w:val="00F4006B"/>
    <w:rsid w:val="00F4045F"/>
    <w:rsid w:val="00F40F32"/>
    <w:rsid w:val="00F4117D"/>
    <w:rsid w:val="00F4150A"/>
    <w:rsid w:val="00F4185C"/>
    <w:rsid w:val="00F41D8F"/>
    <w:rsid w:val="00F4230D"/>
    <w:rsid w:val="00F4265E"/>
    <w:rsid w:val="00F4292C"/>
    <w:rsid w:val="00F42989"/>
    <w:rsid w:val="00F42AAF"/>
    <w:rsid w:val="00F42B75"/>
    <w:rsid w:val="00F43A81"/>
    <w:rsid w:val="00F44592"/>
    <w:rsid w:val="00F44973"/>
    <w:rsid w:val="00F44B3D"/>
    <w:rsid w:val="00F44D6B"/>
    <w:rsid w:val="00F44FBE"/>
    <w:rsid w:val="00F45349"/>
    <w:rsid w:val="00F45886"/>
    <w:rsid w:val="00F458FA"/>
    <w:rsid w:val="00F45FD2"/>
    <w:rsid w:val="00F46418"/>
    <w:rsid w:val="00F4641E"/>
    <w:rsid w:val="00F465A5"/>
    <w:rsid w:val="00F46633"/>
    <w:rsid w:val="00F468E2"/>
    <w:rsid w:val="00F469C2"/>
    <w:rsid w:val="00F46FD5"/>
    <w:rsid w:val="00F4721B"/>
    <w:rsid w:val="00F475A0"/>
    <w:rsid w:val="00F476E5"/>
    <w:rsid w:val="00F47FB5"/>
    <w:rsid w:val="00F501CE"/>
    <w:rsid w:val="00F5020F"/>
    <w:rsid w:val="00F5029D"/>
    <w:rsid w:val="00F5051E"/>
    <w:rsid w:val="00F50C72"/>
    <w:rsid w:val="00F50D80"/>
    <w:rsid w:val="00F50FFD"/>
    <w:rsid w:val="00F5155F"/>
    <w:rsid w:val="00F51574"/>
    <w:rsid w:val="00F518E4"/>
    <w:rsid w:val="00F51A14"/>
    <w:rsid w:val="00F52382"/>
    <w:rsid w:val="00F52535"/>
    <w:rsid w:val="00F525FC"/>
    <w:rsid w:val="00F5288F"/>
    <w:rsid w:val="00F52A6B"/>
    <w:rsid w:val="00F52B09"/>
    <w:rsid w:val="00F52C6B"/>
    <w:rsid w:val="00F53052"/>
    <w:rsid w:val="00F5375F"/>
    <w:rsid w:val="00F5376F"/>
    <w:rsid w:val="00F5393B"/>
    <w:rsid w:val="00F53B48"/>
    <w:rsid w:val="00F53CE2"/>
    <w:rsid w:val="00F53F05"/>
    <w:rsid w:val="00F545FB"/>
    <w:rsid w:val="00F546E6"/>
    <w:rsid w:val="00F54798"/>
    <w:rsid w:val="00F548B0"/>
    <w:rsid w:val="00F54E1F"/>
    <w:rsid w:val="00F557D5"/>
    <w:rsid w:val="00F558A8"/>
    <w:rsid w:val="00F55D1B"/>
    <w:rsid w:val="00F56413"/>
    <w:rsid w:val="00F56435"/>
    <w:rsid w:val="00F56737"/>
    <w:rsid w:val="00F5675B"/>
    <w:rsid w:val="00F568F9"/>
    <w:rsid w:val="00F56A9A"/>
    <w:rsid w:val="00F56ACA"/>
    <w:rsid w:val="00F56C12"/>
    <w:rsid w:val="00F56FA8"/>
    <w:rsid w:val="00F570DF"/>
    <w:rsid w:val="00F578D4"/>
    <w:rsid w:val="00F57AF0"/>
    <w:rsid w:val="00F601BE"/>
    <w:rsid w:val="00F602C0"/>
    <w:rsid w:val="00F60E2E"/>
    <w:rsid w:val="00F6137A"/>
    <w:rsid w:val="00F613FD"/>
    <w:rsid w:val="00F61517"/>
    <w:rsid w:val="00F616FB"/>
    <w:rsid w:val="00F6191C"/>
    <w:rsid w:val="00F619CE"/>
    <w:rsid w:val="00F61F73"/>
    <w:rsid w:val="00F6203B"/>
    <w:rsid w:val="00F62087"/>
    <w:rsid w:val="00F621E2"/>
    <w:rsid w:val="00F625EA"/>
    <w:rsid w:val="00F6289C"/>
    <w:rsid w:val="00F62975"/>
    <w:rsid w:val="00F62C4F"/>
    <w:rsid w:val="00F62DD4"/>
    <w:rsid w:val="00F6317A"/>
    <w:rsid w:val="00F6319C"/>
    <w:rsid w:val="00F6370A"/>
    <w:rsid w:val="00F63C24"/>
    <w:rsid w:val="00F63D0A"/>
    <w:rsid w:val="00F63EF7"/>
    <w:rsid w:val="00F6402D"/>
    <w:rsid w:val="00F64376"/>
    <w:rsid w:val="00F6472C"/>
    <w:rsid w:val="00F64773"/>
    <w:rsid w:val="00F64877"/>
    <w:rsid w:val="00F64A97"/>
    <w:rsid w:val="00F64D36"/>
    <w:rsid w:val="00F65014"/>
    <w:rsid w:val="00F65590"/>
    <w:rsid w:val="00F6603E"/>
    <w:rsid w:val="00F66128"/>
    <w:rsid w:val="00F6612B"/>
    <w:rsid w:val="00F6616D"/>
    <w:rsid w:val="00F6629A"/>
    <w:rsid w:val="00F662B8"/>
    <w:rsid w:val="00F666B1"/>
    <w:rsid w:val="00F6717E"/>
    <w:rsid w:val="00F673AA"/>
    <w:rsid w:val="00F6779F"/>
    <w:rsid w:val="00F67956"/>
    <w:rsid w:val="00F67E1D"/>
    <w:rsid w:val="00F709B5"/>
    <w:rsid w:val="00F70B83"/>
    <w:rsid w:val="00F70BD0"/>
    <w:rsid w:val="00F70F43"/>
    <w:rsid w:val="00F71205"/>
    <w:rsid w:val="00F71743"/>
    <w:rsid w:val="00F71875"/>
    <w:rsid w:val="00F71BBB"/>
    <w:rsid w:val="00F71F18"/>
    <w:rsid w:val="00F71F86"/>
    <w:rsid w:val="00F72027"/>
    <w:rsid w:val="00F7277F"/>
    <w:rsid w:val="00F7286C"/>
    <w:rsid w:val="00F72CF0"/>
    <w:rsid w:val="00F72DA2"/>
    <w:rsid w:val="00F73315"/>
    <w:rsid w:val="00F734A5"/>
    <w:rsid w:val="00F73851"/>
    <w:rsid w:val="00F73876"/>
    <w:rsid w:val="00F73EB4"/>
    <w:rsid w:val="00F741A0"/>
    <w:rsid w:val="00F7430B"/>
    <w:rsid w:val="00F74395"/>
    <w:rsid w:val="00F74396"/>
    <w:rsid w:val="00F7460F"/>
    <w:rsid w:val="00F749BD"/>
    <w:rsid w:val="00F74A55"/>
    <w:rsid w:val="00F7502B"/>
    <w:rsid w:val="00F7506C"/>
    <w:rsid w:val="00F7543C"/>
    <w:rsid w:val="00F75786"/>
    <w:rsid w:val="00F761D4"/>
    <w:rsid w:val="00F762B3"/>
    <w:rsid w:val="00F7655B"/>
    <w:rsid w:val="00F767C5"/>
    <w:rsid w:val="00F7693A"/>
    <w:rsid w:val="00F77096"/>
    <w:rsid w:val="00F77871"/>
    <w:rsid w:val="00F77D81"/>
    <w:rsid w:val="00F77ED1"/>
    <w:rsid w:val="00F80102"/>
    <w:rsid w:val="00F8042B"/>
    <w:rsid w:val="00F8059B"/>
    <w:rsid w:val="00F806B4"/>
    <w:rsid w:val="00F806C0"/>
    <w:rsid w:val="00F808CB"/>
    <w:rsid w:val="00F80DBF"/>
    <w:rsid w:val="00F80DE9"/>
    <w:rsid w:val="00F81721"/>
    <w:rsid w:val="00F81935"/>
    <w:rsid w:val="00F81A6A"/>
    <w:rsid w:val="00F81AE4"/>
    <w:rsid w:val="00F81E18"/>
    <w:rsid w:val="00F81F44"/>
    <w:rsid w:val="00F81F6F"/>
    <w:rsid w:val="00F821CA"/>
    <w:rsid w:val="00F8253D"/>
    <w:rsid w:val="00F82899"/>
    <w:rsid w:val="00F83498"/>
    <w:rsid w:val="00F83607"/>
    <w:rsid w:val="00F8377F"/>
    <w:rsid w:val="00F83B89"/>
    <w:rsid w:val="00F83F8A"/>
    <w:rsid w:val="00F84121"/>
    <w:rsid w:val="00F84369"/>
    <w:rsid w:val="00F84FE7"/>
    <w:rsid w:val="00F85400"/>
    <w:rsid w:val="00F857A1"/>
    <w:rsid w:val="00F857BE"/>
    <w:rsid w:val="00F858E5"/>
    <w:rsid w:val="00F8593C"/>
    <w:rsid w:val="00F86116"/>
    <w:rsid w:val="00F861ED"/>
    <w:rsid w:val="00F8650B"/>
    <w:rsid w:val="00F8693D"/>
    <w:rsid w:val="00F869EA"/>
    <w:rsid w:val="00F86C3E"/>
    <w:rsid w:val="00F87024"/>
    <w:rsid w:val="00F87073"/>
    <w:rsid w:val="00F87237"/>
    <w:rsid w:val="00F87717"/>
    <w:rsid w:val="00F8778B"/>
    <w:rsid w:val="00F87874"/>
    <w:rsid w:val="00F87924"/>
    <w:rsid w:val="00F87C05"/>
    <w:rsid w:val="00F900EB"/>
    <w:rsid w:val="00F90819"/>
    <w:rsid w:val="00F90954"/>
    <w:rsid w:val="00F909B8"/>
    <w:rsid w:val="00F90DDC"/>
    <w:rsid w:val="00F90F28"/>
    <w:rsid w:val="00F911B1"/>
    <w:rsid w:val="00F9124F"/>
    <w:rsid w:val="00F917BA"/>
    <w:rsid w:val="00F91BAD"/>
    <w:rsid w:val="00F91C17"/>
    <w:rsid w:val="00F92375"/>
    <w:rsid w:val="00F92BBF"/>
    <w:rsid w:val="00F92FCB"/>
    <w:rsid w:val="00F931CC"/>
    <w:rsid w:val="00F932CA"/>
    <w:rsid w:val="00F93460"/>
    <w:rsid w:val="00F93DF5"/>
    <w:rsid w:val="00F9461A"/>
    <w:rsid w:val="00F9560A"/>
    <w:rsid w:val="00F95A1C"/>
    <w:rsid w:val="00F95B8B"/>
    <w:rsid w:val="00F95C4F"/>
    <w:rsid w:val="00F95CF8"/>
    <w:rsid w:val="00F95E07"/>
    <w:rsid w:val="00F95F1B"/>
    <w:rsid w:val="00F95F38"/>
    <w:rsid w:val="00F96186"/>
    <w:rsid w:val="00F963CB"/>
    <w:rsid w:val="00F96888"/>
    <w:rsid w:val="00F968FC"/>
    <w:rsid w:val="00F969AF"/>
    <w:rsid w:val="00F96A32"/>
    <w:rsid w:val="00F96A3E"/>
    <w:rsid w:val="00F96B97"/>
    <w:rsid w:val="00F96C84"/>
    <w:rsid w:val="00F9709D"/>
    <w:rsid w:val="00F972BF"/>
    <w:rsid w:val="00F973B0"/>
    <w:rsid w:val="00F9758E"/>
    <w:rsid w:val="00F977F3"/>
    <w:rsid w:val="00F97D94"/>
    <w:rsid w:val="00FA02AD"/>
    <w:rsid w:val="00FA071F"/>
    <w:rsid w:val="00FA0A98"/>
    <w:rsid w:val="00FA103F"/>
    <w:rsid w:val="00FA117F"/>
    <w:rsid w:val="00FA1577"/>
    <w:rsid w:val="00FA1731"/>
    <w:rsid w:val="00FA1745"/>
    <w:rsid w:val="00FA1BC4"/>
    <w:rsid w:val="00FA2040"/>
    <w:rsid w:val="00FA25C6"/>
    <w:rsid w:val="00FA28BE"/>
    <w:rsid w:val="00FA28FD"/>
    <w:rsid w:val="00FA2913"/>
    <w:rsid w:val="00FA2FF2"/>
    <w:rsid w:val="00FA3AC9"/>
    <w:rsid w:val="00FA3CA6"/>
    <w:rsid w:val="00FA3EAB"/>
    <w:rsid w:val="00FA41F5"/>
    <w:rsid w:val="00FA4CAA"/>
    <w:rsid w:val="00FA4CBC"/>
    <w:rsid w:val="00FA54D7"/>
    <w:rsid w:val="00FA5F22"/>
    <w:rsid w:val="00FA6445"/>
    <w:rsid w:val="00FA657D"/>
    <w:rsid w:val="00FA662C"/>
    <w:rsid w:val="00FA6B67"/>
    <w:rsid w:val="00FA6B82"/>
    <w:rsid w:val="00FA754B"/>
    <w:rsid w:val="00FA789E"/>
    <w:rsid w:val="00FA78F9"/>
    <w:rsid w:val="00FA79EA"/>
    <w:rsid w:val="00FB07DD"/>
    <w:rsid w:val="00FB084D"/>
    <w:rsid w:val="00FB10FF"/>
    <w:rsid w:val="00FB1348"/>
    <w:rsid w:val="00FB1865"/>
    <w:rsid w:val="00FB18C2"/>
    <w:rsid w:val="00FB192C"/>
    <w:rsid w:val="00FB1A5C"/>
    <w:rsid w:val="00FB1ADD"/>
    <w:rsid w:val="00FB27A8"/>
    <w:rsid w:val="00FB2A54"/>
    <w:rsid w:val="00FB2BAC"/>
    <w:rsid w:val="00FB2C07"/>
    <w:rsid w:val="00FB2CCE"/>
    <w:rsid w:val="00FB2D0F"/>
    <w:rsid w:val="00FB3765"/>
    <w:rsid w:val="00FB3C08"/>
    <w:rsid w:val="00FB3C61"/>
    <w:rsid w:val="00FB4648"/>
    <w:rsid w:val="00FB4AD3"/>
    <w:rsid w:val="00FB4BE1"/>
    <w:rsid w:val="00FB4C1E"/>
    <w:rsid w:val="00FB4EA4"/>
    <w:rsid w:val="00FB531F"/>
    <w:rsid w:val="00FB53C0"/>
    <w:rsid w:val="00FB54CE"/>
    <w:rsid w:val="00FB59F1"/>
    <w:rsid w:val="00FB5A63"/>
    <w:rsid w:val="00FB5E0D"/>
    <w:rsid w:val="00FB5F78"/>
    <w:rsid w:val="00FB6145"/>
    <w:rsid w:val="00FB6336"/>
    <w:rsid w:val="00FB6862"/>
    <w:rsid w:val="00FB69DC"/>
    <w:rsid w:val="00FB753A"/>
    <w:rsid w:val="00FB75F0"/>
    <w:rsid w:val="00FB7737"/>
    <w:rsid w:val="00FB7961"/>
    <w:rsid w:val="00FB7A64"/>
    <w:rsid w:val="00FB7FE0"/>
    <w:rsid w:val="00FC014D"/>
    <w:rsid w:val="00FC0317"/>
    <w:rsid w:val="00FC04A7"/>
    <w:rsid w:val="00FC0D73"/>
    <w:rsid w:val="00FC0E8B"/>
    <w:rsid w:val="00FC10AA"/>
    <w:rsid w:val="00FC12C3"/>
    <w:rsid w:val="00FC1976"/>
    <w:rsid w:val="00FC200C"/>
    <w:rsid w:val="00FC24C3"/>
    <w:rsid w:val="00FC26B5"/>
    <w:rsid w:val="00FC277F"/>
    <w:rsid w:val="00FC3104"/>
    <w:rsid w:val="00FC467C"/>
    <w:rsid w:val="00FC4B29"/>
    <w:rsid w:val="00FC4BAB"/>
    <w:rsid w:val="00FC4DD4"/>
    <w:rsid w:val="00FC52D3"/>
    <w:rsid w:val="00FC53BF"/>
    <w:rsid w:val="00FC58C0"/>
    <w:rsid w:val="00FC590F"/>
    <w:rsid w:val="00FC5AB7"/>
    <w:rsid w:val="00FC5CAE"/>
    <w:rsid w:val="00FC604E"/>
    <w:rsid w:val="00FC60DE"/>
    <w:rsid w:val="00FC67B1"/>
    <w:rsid w:val="00FC6DEB"/>
    <w:rsid w:val="00FC705E"/>
    <w:rsid w:val="00FC7307"/>
    <w:rsid w:val="00FC732F"/>
    <w:rsid w:val="00FC76C6"/>
    <w:rsid w:val="00FC7763"/>
    <w:rsid w:val="00FC77BB"/>
    <w:rsid w:val="00FC7965"/>
    <w:rsid w:val="00FC7ABF"/>
    <w:rsid w:val="00FC7E98"/>
    <w:rsid w:val="00FD06CF"/>
    <w:rsid w:val="00FD083F"/>
    <w:rsid w:val="00FD1335"/>
    <w:rsid w:val="00FD142F"/>
    <w:rsid w:val="00FD1597"/>
    <w:rsid w:val="00FD1BFF"/>
    <w:rsid w:val="00FD1C20"/>
    <w:rsid w:val="00FD1D18"/>
    <w:rsid w:val="00FD1D4D"/>
    <w:rsid w:val="00FD1DF1"/>
    <w:rsid w:val="00FD21DA"/>
    <w:rsid w:val="00FD275A"/>
    <w:rsid w:val="00FD461E"/>
    <w:rsid w:val="00FD4CD5"/>
    <w:rsid w:val="00FD51E5"/>
    <w:rsid w:val="00FD5201"/>
    <w:rsid w:val="00FD55C6"/>
    <w:rsid w:val="00FD5F74"/>
    <w:rsid w:val="00FD6046"/>
    <w:rsid w:val="00FD6316"/>
    <w:rsid w:val="00FD6A10"/>
    <w:rsid w:val="00FD6A5D"/>
    <w:rsid w:val="00FD6B2F"/>
    <w:rsid w:val="00FD717C"/>
    <w:rsid w:val="00FD73FE"/>
    <w:rsid w:val="00FD759E"/>
    <w:rsid w:val="00FD7B24"/>
    <w:rsid w:val="00FD7C98"/>
    <w:rsid w:val="00FE0EB8"/>
    <w:rsid w:val="00FE0FDB"/>
    <w:rsid w:val="00FE11C7"/>
    <w:rsid w:val="00FE16CC"/>
    <w:rsid w:val="00FE1F93"/>
    <w:rsid w:val="00FE23FA"/>
    <w:rsid w:val="00FE2515"/>
    <w:rsid w:val="00FE2B02"/>
    <w:rsid w:val="00FE2CF9"/>
    <w:rsid w:val="00FE2D75"/>
    <w:rsid w:val="00FE2F28"/>
    <w:rsid w:val="00FE3228"/>
    <w:rsid w:val="00FE3229"/>
    <w:rsid w:val="00FE3242"/>
    <w:rsid w:val="00FE3408"/>
    <w:rsid w:val="00FE366A"/>
    <w:rsid w:val="00FE368D"/>
    <w:rsid w:val="00FE3D87"/>
    <w:rsid w:val="00FE42BB"/>
    <w:rsid w:val="00FE4708"/>
    <w:rsid w:val="00FE47E0"/>
    <w:rsid w:val="00FE48DA"/>
    <w:rsid w:val="00FE4DF1"/>
    <w:rsid w:val="00FE4FCE"/>
    <w:rsid w:val="00FE5372"/>
    <w:rsid w:val="00FE5441"/>
    <w:rsid w:val="00FE5A23"/>
    <w:rsid w:val="00FE6125"/>
    <w:rsid w:val="00FE61E3"/>
    <w:rsid w:val="00FE62FE"/>
    <w:rsid w:val="00FE63AD"/>
    <w:rsid w:val="00FE63DF"/>
    <w:rsid w:val="00FE6694"/>
    <w:rsid w:val="00FE67DA"/>
    <w:rsid w:val="00FE6896"/>
    <w:rsid w:val="00FE6950"/>
    <w:rsid w:val="00FE6D3C"/>
    <w:rsid w:val="00FE6DDC"/>
    <w:rsid w:val="00FE7023"/>
    <w:rsid w:val="00FE72DF"/>
    <w:rsid w:val="00FE7428"/>
    <w:rsid w:val="00FE74BB"/>
    <w:rsid w:val="00FE7557"/>
    <w:rsid w:val="00FE75F3"/>
    <w:rsid w:val="00FE79AE"/>
    <w:rsid w:val="00FE7CE9"/>
    <w:rsid w:val="00FE7F8F"/>
    <w:rsid w:val="00FF02C5"/>
    <w:rsid w:val="00FF05D6"/>
    <w:rsid w:val="00FF0B26"/>
    <w:rsid w:val="00FF1751"/>
    <w:rsid w:val="00FF1E30"/>
    <w:rsid w:val="00FF1E5F"/>
    <w:rsid w:val="00FF1EB0"/>
    <w:rsid w:val="00FF202E"/>
    <w:rsid w:val="00FF2D8D"/>
    <w:rsid w:val="00FF2E91"/>
    <w:rsid w:val="00FF391D"/>
    <w:rsid w:val="00FF3BAD"/>
    <w:rsid w:val="00FF4305"/>
    <w:rsid w:val="00FF448C"/>
    <w:rsid w:val="00FF4677"/>
    <w:rsid w:val="00FF4B57"/>
    <w:rsid w:val="00FF519F"/>
    <w:rsid w:val="00FF58E6"/>
    <w:rsid w:val="00FF5C1D"/>
    <w:rsid w:val="00FF616F"/>
    <w:rsid w:val="00FF6754"/>
    <w:rsid w:val="00FF6839"/>
    <w:rsid w:val="00FF6B94"/>
    <w:rsid w:val="00FF6DE1"/>
    <w:rsid w:val="00FF6EB5"/>
    <w:rsid w:val="00FF7327"/>
    <w:rsid w:val="00FF76F1"/>
    <w:rsid w:val="00FF7F6F"/>
    <w:rsid w:val="00FF7FD2"/>
    <w:rsid w:val="0B34B54E"/>
    <w:rsid w:val="113904DB"/>
    <w:rsid w:val="1F8F1CB4"/>
    <w:rsid w:val="314BDC54"/>
    <w:rsid w:val="54C54C83"/>
    <w:rsid w:val="62B9D32A"/>
    <w:rsid w:val="66C0A1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2E772673"/>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heading 1" w:uiPriority="99" w:qFormat="1"/>
    <w:lsdException w:name="heading 2" w:uiPriority="99" w:qFormat="1"/>
    <w:lsdException w:name="heading 3" w:qFormat="1"/>
    <w:lsdException w:name="heading 4"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rsid w:val="008B32C6"/>
    <w:pPr>
      <w:spacing w:after="120"/>
    </w:pPr>
    <w:rPr>
      <w:rFonts w:ascii="Arial" w:hAnsi="Arial"/>
      <w:sz w:val="18"/>
      <w:szCs w:val="24"/>
      <w:lang w:eastAsia="en-US"/>
    </w:rPr>
  </w:style>
  <w:style w:type="paragraph" w:styleId="Nagwek1">
    <w:name w:val="heading 1"/>
    <w:basedOn w:val="Normalny"/>
    <w:next w:val="Normal1"/>
    <w:link w:val="Nagwek1Znak"/>
    <w:autoRedefine/>
    <w:uiPriority w:val="99"/>
    <w:qFormat/>
    <w:rsid w:val="00425C03"/>
    <w:pPr>
      <w:keepNext/>
      <w:pageBreakBefore/>
      <w:numPr>
        <w:numId w:val="33"/>
      </w:numPr>
      <w:outlineLvl w:val="0"/>
    </w:pPr>
    <w:rPr>
      <w:b/>
      <w:sz w:val="28"/>
      <w:szCs w:val="28"/>
    </w:rPr>
  </w:style>
  <w:style w:type="paragraph" w:styleId="Nagwek2">
    <w:name w:val="heading 2"/>
    <w:basedOn w:val="Normalny"/>
    <w:next w:val="Normal1"/>
    <w:link w:val="Nagwek2Znak"/>
    <w:uiPriority w:val="99"/>
    <w:qFormat/>
    <w:rsid w:val="00AE0BCA"/>
    <w:pPr>
      <w:keepNext/>
      <w:numPr>
        <w:ilvl w:val="1"/>
        <w:numId w:val="2"/>
      </w:numPr>
      <w:pBdr>
        <w:top w:val="single" w:sz="4" w:space="1" w:color="7F7F7F" w:themeColor="text1" w:themeTint="80"/>
        <w:bottom w:val="single" w:sz="4" w:space="1" w:color="7F7F7F" w:themeColor="text1" w:themeTint="80"/>
      </w:pBdr>
      <w:spacing w:before="360" w:after="240"/>
      <w:jc w:val="both"/>
      <w:outlineLvl w:val="1"/>
    </w:pPr>
    <w:rPr>
      <w:rFonts w:cs="Arial"/>
      <w:b/>
      <w:bCs/>
      <w:iCs/>
      <w:sz w:val="24"/>
    </w:rPr>
  </w:style>
  <w:style w:type="paragraph" w:styleId="Nagwek3">
    <w:name w:val="heading 3"/>
    <w:basedOn w:val="Normalny"/>
    <w:next w:val="Normal1"/>
    <w:link w:val="Nagwek3Znak"/>
    <w:qFormat/>
    <w:rsid w:val="0005702C"/>
    <w:pPr>
      <w:keepNext/>
      <w:numPr>
        <w:ilvl w:val="2"/>
        <w:numId w:val="2"/>
      </w:numPr>
      <w:spacing w:before="360" w:after="240"/>
      <w:jc w:val="both"/>
      <w:outlineLvl w:val="2"/>
    </w:pPr>
    <w:rPr>
      <w:rFonts w:cs="Arial"/>
      <w:b/>
      <w:bCs/>
      <w:sz w:val="22"/>
      <w:szCs w:val="22"/>
    </w:rPr>
  </w:style>
  <w:style w:type="paragraph" w:styleId="Nagwek4">
    <w:name w:val="heading 4"/>
    <w:basedOn w:val="Normalny"/>
    <w:next w:val="Normal1"/>
    <w:link w:val="Nagwek4Znak"/>
    <w:qFormat/>
    <w:rsid w:val="00AE1C32"/>
    <w:pPr>
      <w:keepNext/>
      <w:spacing w:before="360" w:after="240"/>
      <w:outlineLvl w:val="3"/>
    </w:pPr>
    <w:rPr>
      <w:rFonts w:cs="Arial"/>
      <w:b/>
      <w:bCs/>
      <w:sz w:val="20"/>
      <w:szCs w:val="22"/>
      <w:u w:val="single"/>
    </w:rPr>
  </w:style>
  <w:style w:type="paragraph" w:styleId="Nagwek5">
    <w:name w:val="heading 5"/>
    <w:basedOn w:val="Normalny"/>
    <w:next w:val="Normalny"/>
    <w:link w:val="Nagwek5Znak"/>
    <w:uiPriority w:val="99"/>
    <w:qFormat/>
    <w:rsid w:val="00161D7C"/>
    <w:pPr>
      <w:keepNext/>
      <w:numPr>
        <w:ilvl w:val="4"/>
        <w:numId w:val="2"/>
      </w:numPr>
      <w:spacing w:before="240" w:after="240"/>
      <w:outlineLvl w:val="4"/>
    </w:pPr>
    <w:rPr>
      <w:bCs/>
      <w:iCs/>
      <w:szCs w:val="26"/>
    </w:rPr>
  </w:style>
  <w:style w:type="paragraph" w:styleId="Nagwek6">
    <w:name w:val="heading 6"/>
    <w:basedOn w:val="Normalny"/>
    <w:next w:val="Normalny"/>
    <w:link w:val="Nagwek6Znak"/>
    <w:uiPriority w:val="99"/>
    <w:qFormat/>
    <w:rsid w:val="00161D7C"/>
    <w:pPr>
      <w:keepNext/>
      <w:numPr>
        <w:ilvl w:val="5"/>
        <w:numId w:val="2"/>
      </w:numPr>
      <w:tabs>
        <w:tab w:val="left" w:pos="1208"/>
      </w:tabs>
      <w:spacing w:before="120"/>
      <w:outlineLvl w:val="5"/>
    </w:pPr>
    <w:rPr>
      <w:bCs/>
      <w:szCs w:val="22"/>
    </w:rPr>
  </w:style>
  <w:style w:type="paragraph" w:styleId="Nagwek7">
    <w:name w:val="heading 7"/>
    <w:basedOn w:val="Normalny"/>
    <w:next w:val="Normalny"/>
    <w:link w:val="Nagwek7Znak"/>
    <w:uiPriority w:val="99"/>
    <w:qFormat/>
    <w:rsid w:val="00161D7C"/>
    <w:pPr>
      <w:keepNext/>
      <w:numPr>
        <w:ilvl w:val="6"/>
        <w:numId w:val="2"/>
      </w:numPr>
      <w:spacing w:before="60"/>
      <w:outlineLvl w:val="6"/>
    </w:pPr>
    <w:rPr>
      <w:i/>
      <w:sz w:val="22"/>
    </w:rPr>
  </w:style>
  <w:style w:type="paragraph" w:styleId="Nagwek8">
    <w:name w:val="heading 8"/>
    <w:aliases w:val="Appendix"/>
    <w:basedOn w:val="Normalny"/>
    <w:next w:val="Normalny"/>
    <w:link w:val="Nagwek8Znak"/>
    <w:uiPriority w:val="99"/>
    <w:qFormat/>
    <w:rsid w:val="00161D7C"/>
    <w:pPr>
      <w:keepNext/>
      <w:numPr>
        <w:ilvl w:val="7"/>
        <w:numId w:val="2"/>
      </w:numPr>
      <w:spacing w:before="60"/>
      <w:outlineLvl w:val="7"/>
    </w:pPr>
    <w:rPr>
      <w:i/>
      <w:iCs/>
      <w:sz w:val="22"/>
    </w:rPr>
  </w:style>
  <w:style w:type="paragraph" w:styleId="Nagwek9">
    <w:name w:val="heading 9"/>
    <w:basedOn w:val="Normalny"/>
    <w:next w:val="Normalny"/>
    <w:link w:val="Nagwek9Znak"/>
    <w:uiPriority w:val="99"/>
    <w:qFormat/>
    <w:rsid w:val="00082673"/>
    <w:pPr>
      <w:keepNext/>
      <w:numPr>
        <w:ilvl w:val="8"/>
        <w:numId w:val="2"/>
      </w:numPr>
      <w:spacing w:before="60"/>
      <w:outlineLvl w:val="8"/>
    </w:pPr>
    <w:rPr>
      <w:rFonts w:cs="Arial"/>
      <w:sz w:val="20"/>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Normal1">
    <w:name w:val="Normal1"/>
    <w:basedOn w:val="Normalny"/>
    <w:link w:val="NormalChar"/>
    <w:uiPriority w:val="99"/>
    <w:qFormat/>
    <w:rsid w:val="00DD450B"/>
    <w:pPr>
      <w:spacing w:line="276" w:lineRule="auto"/>
      <w:jc w:val="both"/>
    </w:pPr>
    <w:rPr>
      <w:rFonts w:cs="Arial"/>
      <w:sz w:val="20"/>
    </w:rPr>
  </w:style>
  <w:style w:type="character" w:customStyle="1" w:styleId="NormalChar">
    <w:name w:val="Normal Char"/>
    <w:basedOn w:val="Domylnaczcionkaakapitu"/>
    <w:link w:val="Normal1"/>
    <w:uiPriority w:val="99"/>
    <w:rsid w:val="00DD450B"/>
    <w:rPr>
      <w:rFonts w:ascii="Arial" w:hAnsi="Arial" w:cs="Arial"/>
      <w:szCs w:val="24"/>
      <w:lang w:eastAsia="en-US"/>
    </w:rPr>
  </w:style>
  <w:style w:type="character" w:customStyle="1" w:styleId="Nagwek1Znak">
    <w:name w:val="Nagłówek 1 Znak"/>
    <w:basedOn w:val="Domylnaczcionkaakapitu"/>
    <w:link w:val="Nagwek1"/>
    <w:uiPriority w:val="99"/>
    <w:rsid w:val="00425C03"/>
    <w:rPr>
      <w:rFonts w:ascii="Arial" w:hAnsi="Arial"/>
      <w:b/>
      <w:sz w:val="28"/>
      <w:szCs w:val="28"/>
      <w:lang w:eastAsia="en-US"/>
    </w:rPr>
  </w:style>
  <w:style w:type="character" w:customStyle="1" w:styleId="Nagwek2Znak">
    <w:name w:val="Nagłówek 2 Znak"/>
    <w:basedOn w:val="Domylnaczcionkaakapitu"/>
    <w:link w:val="Nagwek2"/>
    <w:uiPriority w:val="99"/>
    <w:rsid w:val="00AE0BCA"/>
    <w:rPr>
      <w:rFonts w:ascii="Arial" w:hAnsi="Arial" w:cs="Arial"/>
      <w:b/>
      <w:bCs/>
      <w:iCs/>
      <w:sz w:val="24"/>
      <w:szCs w:val="24"/>
      <w:lang w:eastAsia="en-US"/>
    </w:rPr>
  </w:style>
  <w:style w:type="character" w:customStyle="1" w:styleId="Nagwek3Znak">
    <w:name w:val="Nagłówek 3 Znak"/>
    <w:basedOn w:val="Domylnaczcionkaakapitu"/>
    <w:link w:val="Nagwek3"/>
    <w:rsid w:val="0005702C"/>
    <w:rPr>
      <w:rFonts w:ascii="Arial" w:hAnsi="Arial" w:cs="Arial"/>
      <w:b/>
      <w:bCs/>
      <w:sz w:val="22"/>
      <w:szCs w:val="22"/>
      <w:lang w:eastAsia="en-US"/>
    </w:rPr>
  </w:style>
  <w:style w:type="character" w:customStyle="1" w:styleId="Nagwek4Znak">
    <w:name w:val="Nagłówek 4 Znak"/>
    <w:basedOn w:val="Domylnaczcionkaakapitu"/>
    <w:link w:val="Nagwek4"/>
    <w:rsid w:val="00AE1C32"/>
    <w:rPr>
      <w:rFonts w:ascii="Arial" w:hAnsi="Arial" w:cs="Arial"/>
      <w:b/>
      <w:bCs/>
      <w:szCs w:val="22"/>
      <w:u w:val="single"/>
      <w:lang w:eastAsia="en-US"/>
    </w:rPr>
  </w:style>
  <w:style w:type="character" w:customStyle="1" w:styleId="Nagwek5Znak">
    <w:name w:val="Nagłówek 5 Znak"/>
    <w:basedOn w:val="Domylnaczcionkaakapitu"/>
    <w:link w:val="Nagwek5"/>
    <w:uiPriority w:val="99"/>
    <w:rsid w:val="006E7680"/>
    <w:rPr>
      <w:rFonts w:ascii="Arial" w:hAnsi="Arial"/>
      <w:bCs/>
      <w:iCs/>
      <w:sz w:val="18"/>
      <w:szCs w:val="26"/>
      <w:lang w:eastAsia="en-US"/>
    </w:rPr>
  </w:style>
  <w:style w:type="character" w:customStyle="1" w:styleId="Nagwek6Znak">
    <w:name w:val="Nagłówek 6 Znak"/>
    <w:basedOn w:val="Domylnaczcionkaakapitu"/>
    <w:link w:val="Nagwek6"/>
    <w:uiPriority w:val="99"/>
    <w:rsid w:val="006E7680"/>
    <w:rPr>
      <w:rFonts w:ascii="Arial" w:hAnsi="Arial"/>
      <w:bCs/>
      <w:sz w:val="18"/>
      <w:szCs w:val="22"/>
      <w:lang w:eastAsia="en-US"/>
    </w:rPr>
  </w:style>
  <w:style w:type="character" w:customStyle="1" w:styleId="Nagwek7Znak">
    <w:name w:val="Nagłówek 7 Znak"/>
    <w:basedOn w:val="Domylnaczcionkaakapitu"/>
    <w:link w:val="Nagwek7"/>
    <w:uiPriority w:val="99"/>
    <w:rsid w:val="006E7680"/>
    <w:rPr>
      <w:rFonts w:ascii="Arial" w:hAnsi="Arial"/>
      <w:i/>
      <w:sz w:val="22"/>
      <w:szCs w:val="24"/>
      <w:lang w:eastAsia="en-US"/>
    </w:rPr>
  </w:style>
  <w:style w:type="character" w:customStyle="1" w:styleId="Nagwek8Znak">
    <w:name w:val="Nagłówek 8 Znak"/>
    <w:aliases w:val="Appendix Znak"/>
    <w:basedOn w:val="Domylnaczcionkaakapitu"/>
    <w:link w:val="Nagwek8"/>
    <w:uiPriority w:val="99"/>
    <w:rsid w:val="006E7680"/>
    <w:rPr>
      <w:rFonts w:ascii="Arial" w:hAnsi="Arial"/>
      <w:i/>
      <w:iCs/>
      <w:sz w:val="22"/>
      <w:szCs w:val="24"/>
      <w:lang w:eastAsia="en-US"/>
    </w:rPr>
  </w:style>
  <w:style w:type="character" w:customStyle="1" w:styleId="Nagwek9Znak">
    <w:name w:val="Nagłówek 9 Znak"/>
    <w:basedOn w:val="Domylnaczcionkaakapitu"/>
    <w:link w:val="Nagwek9"/>
    <w:uiPriority w:val="99"/>
    <w:rsid w:val="006E7680"/>
    <w:rPr>
      <w:rFonts w:ascii="Arial" w:hAnsi="Arial" w:cs="Arial"/>
      <w:szCs w:val="22"/>
      <w:lang w:eastAsia="en-US"/>
    </w:rPr>
  </w:style>
  <w:style w:type="paragraph" w:customStyle="1" w:styleId="Boilerplate">
    <w:name w:val="Boilerplate"/>
    <w:basedOn w:val="Normalny"/>
    <w:rsid w:val="00B67A65"/>
    <w:pPr>
      <w:spacing w:after="240"/>
    </w:pPr>
    <w:rPr>
      <w:color w:val="666666"/>
      <w:sz w:val="16"/>
      <w:lang w:val="en-US"/>
    </w:rPr>
  </w:style>
  <w:style w:type="paragraph" w:styleId="Tytu">
    <w:name w:val="Title"/>
    <w:basedOn w:val="Normalny"/>
    <w:link w:val="TytuZnak"/>
    <w:uiPriority w:val="99"/>
    <w:rsid w:val="00F96888"/>
    <w:pPr>
      <w:spacing w:after="240"/>
      <w:outlineLvl w:val="0"/>
    </w:pPr>
    <w:rPr>
      <w:rFonts w:cs="Arial"/>
      <w:bCs/>
      <w:color w:val="646464"/>
      <w:kern w:val="28"/>
      <w:sz w:val="32"/>
      <w:szCs w:val="32"/>
    </w:rPr>
  </w:style>
  <w:style w:type="character" w:customStyle="1" w:styleId="TytuZnak">
    <w:name w:val="Tytuł Znak"/>
    <w:basedOn w:val="Domylnaczcionkaakapitu"/>
    <w:link w:val="Tytu"/>
    <w:uiPriority w:val="99"/>
    <w:rsid w:val="00567D2A"/>
    <w:rPr>
      <w:rFonts w:ascii="Arial" w:hAnsi="Arial" w:cs="Arial"/>
      <w:bCs/>
      <w:color w:val="646464"/>
      <w:kern w:val="28"/>
      <w:sz w:val="32"/>
      <w:szCs w:val="32"/>
      <w:lang w:eastAsia="en-US"/>
    </w:rPr>
  </w:style>
  <w:style w:type="paragraph" w:customStyle="1" w:styleId="Bullet1">
    <w:name w:val="Bullet 1"/>
    <w:basedOn w:val="Normalny"/>
    <w:link w:val="Bullet1Char"/>
    <w:rsid w:val="00D63B82"/>
    <w:pPr>
      <w:tabs>
        <w:tab w:val="num" w:pos="360"/>
      </w:tabs>
      <w:ind w:left="360" w:hanging="360"/>
    </w:pPr>
    <w:rPr>
      <w:lang w:val="en-US"/>
    </w:rPr>
  </w:style>
  <w:style w:type="character" w:customStyle="1" w:styleId="Bullet1Char">
    <w:name w:val="Bullet 1 Char"/>
    <w:basedOn w:val="Domylnaczcionkaakapitu"/>
    <w:link w:val="Bullet1"/>
    <w:rsid w:val="00C14F0A"/>
    <w:rPr>
      <w:rFonts w:ascii="Arial" w:hAnsi="Arial"/>
      <w:sz w:val="18"/>
      <w:szCs w:val="24"/>
      <w:lang w:val="en-US" w:eastAsia="en-US"/>
    </w:rPr>
  </w:style>
  <w:style w:type="paragraph" w:styleId="Nagwek">
    <w:name w:val="header"/>
    <w:basedOn w:val="Normalny"/>
    <w:link w:val="NagwekZnak"/>
    <w:uiPriority w:val="99"/>
    <w:rsid w:val="009555D3"/>
    <w:pPr>
      <w:tabs>
        <w:tab w:val="center" w:pos="4536"/>
        <w:tab w:val="right" w:pos="9072"/>
      </w:tabs>
    </w:pPr>
  </w:style>
  <w:style w:type="character" w:customStyle="1" w:styleId="NagwekZnak">
    <w:name w:val="Nagłówek Znak"/>
    <w:basedOn w:val="Domylnaczcionkaakapitu"/>
    <w:link w:val="Nagwek"/>
    <w:uiPriority w:val="99"/>
    <w:rsid w:val="00723438"/>
    <w:rPr>
      <w:rFonts w:ascii="Arial" w:hAnsi="Arial"/>
      <w:sz w:val="18"/>
      <w:szCs w:val="24"/>
      <w:lang w:eastAsia="en-US"/>
    </w:rPr>
  </w:style>
  <w:style w:type="paragraph" w:styleId="Stopka">
    <w:name w:val="footer"/>
    <w:basedOn w:val="Normalny"/>
    <w:link w:val="StopkaZnak"/>
    <w:uiPriority w:val="99"/>
    <w:rsid w:val="009555D3"/>
    <w:pPr>
      <w:tabs>
        <w:tab w:val="center" w:pos="4536"/>
        <w:tab w:val="right" w:pos="9072"/>
      </w:tabs>
    </w:pPr>
  </w:style>
  <w:style w:type="character" w:customStyle="1" w:styleId="StopkaZnak">
    <w:name w:val="Stopka Znak"/>
    <w:basedOn w:val="Domylnaczcionkaakapitu"/>
    <w:link w:val="Stopka"/>
    <w:uiPriority w:val="99"/>
    <w:rsid w:val="006E7680"/>
    <w:rPr>
      <w:rFonts w:ascii="Arial" w:hAnsi="Arial"/>
      <w:sz w:val="18"/>
      <w:szCs w:val="24"/>
      <w:lang w:eastAsia="en-US"/>
    </w:rPr>
  </w:style>
  <w:style w:type="character" w:styleId="Numerstrony">
    <w:name w:val="page number"/>
    <w:basedOn w:val="Domylnaczcionkaakapitu"/>
    <w:rsid w:val="005A6B62"/>
  </w:style>
  <w:style w:type="paragraph" w:styleId="Tekstdymka">
    <w:name w:val="Balloon Text"/>
    <w:basedOn w:val="Normalny"/>
    <w:link w:val="TekstdymkaZnak"/>
    <w:uiPriority w:val="99"/>
    <w:rsid w:val="00723438"/>
    <w:pPr>
      <w:spacing w:after="0"/>
    </w:pPr>
    <w:rPr>
      <w:rFonts w:ascii="Tahoma" w:hAnsi="Tahoma" w:cs="Tahoma"/>
      <w:sz w:val="16"/>
      <w:szCs w:val="16"/>
    </w:rPr>
  </w:style>
  <w:style w:type="character" w:customStyle="1" w:styleId="TekstdymkaZnak">
    <w:name w:val="Tekst dymka Znak"/>
    <w:basedOn w:val="Domylnaczcionkaakapitu"/>
    <w:link w:val="Tekstdymka"/>
    <w:uiPriority w:val="99"/>
    <w:rsid w:val="00723438"/>
    <w:rPr>
      <w:rFonts w:ascii="Tahoma" w:hAnsi="Tahoma" w:cs="Tahoma"/>
      <w:sz w:val="16"/>
      <w:szCs w:val="16"/>
      <w:lang w:eastAsia="en-US"/>
    </w:rPr>
  </w:style>
  <w:style w:type="table" w:styleId="Tabela-Siatka">
    <w:name w:val="Table Grid"/>
    <w:aliases w:val="CV table"/>
    <w:basedOn w:val="Standardowy"/>
    <w:uiPriority w:val="59"/>
    <w:rsid w:val="00723438"/>
    <w:rPr>
      <w:rFonts w:ascii="Calibri" w:hAnsi="Calibri"/>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Shading1">
    <w:name w:val="Light Shading1"/>
    <w:basedOn w:val="Standardowy"/>
    <w:uiPriority w:val="60"/>
    <w:rsid w:val="00DF5AB8"/>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shd w:val="clear" w:color="auto" w:fill="D9D9D9" w:themeFill="background1" w:themeFillShade="D9"/>
      </w:tcPr>
    </w:tblStylePr>
  </w:style>
  <w:style w:type="paragraph" w:customStyle="1" w:styleId="Bullety">
    <w:name w:val="Bullety"/>
    <w:basedOn w:val="Bullet1"/>
    <w:link w:val="BulletyChar"/>
    <w:qFormat/>
    <w:rsid w:val="00D4564D"/>
    <w:pPr>
      <w:numPr>
        <w:numId w:val="1"/>
      </w:numPr>
      <w:spacing w:line="276" w:lineRule="auto"/>
      <w:ind w:left="426" w:hanging="426"/>
      <w:jc w:val="both"/>
    </w:pPr>
    <w:rPr>
      <w:sz w:val="20"/>
      <w:szCs w:val="20"/>
      <w:lang w:val="pl-PL" w:eastAsia="pl-PL"/>
    </w:rPr>
  </w:style>
  <w:style w:type="character" w:customStyle="1" w:styleId="BulletyChar">
    <w:name w:val="Bullety Char"/>
    <w:basedOn w:val="Bullet1Char"/>
    <w:link w:val="Bullety"/>
    <w:rsid w:val="00D4564D"/>
    <w:rPr>
      <w:rFonts w:ascii="Arial" w:hAnsi="Arial"/>
      <w:sz w:val="18"/>
      <w:szCs w:val="24"/>
      <w:lang w:val="en-US" w:eastAsia="en-US"/>
    </w:rPr>
  </w:style>
  <w:style w:type="paragraph" w:customStyle="1" w:styleId="rdo">
    <w:name w:val="Źródło"/>
    <w:basedOn w:val="Normal1"/>
    <w:link w:val="rdoChar"/>
    <w:rsid w:val="009D45A0"/>
    <w:pPr>
      <w:spacing w:before="120"/>
    </w:pPr>
    <w:rPr>
      <w:i/>
      <w:sz w:val="16"/>
      <w:szCs w:val="16"/>
    </w:rPr>
  </w:style>
  <w:style w:type="character" w:customStyle="1" w:styleId="rdoChar">
    <w:name w:val="Źródło Char"/>
    <w:basedOn w:val="Domylnaczcionkaakapitu"/>
    <w:link w:val="rdo"/>
    <w:rsid w:val="009D45A0"/>
    <w:rPr>
      <w:rFonts w:ascii="Arial" w:hAnsi="Arial" w:cs="Arial"/>
      <w:i/>
      <w:sz w:val="16"/>
      <w:szCs w:val="16"/>
      <w:lang w:eastAsia="en-US"/>
    </w:rPr>
  </w:style>
  <w:style w:type="paragraph" w:styleId="Akapitzlist">
    <w:name w:val="List Paragraph"/>
    <w:basedOn w:val="Normalny"/>
    <w:link w:val="AkapitzlistZnak"/>
    <w:uiPriority w:val="34"/>
    <w:qFormat/>
    <w:rsid w:val="000735E9"/>
    <w:pPr>
      <w:spacing w:after="200" w:line="276" w:lineRule="auto"/>
      <w:ind w:left="720"/>
      <w:contextualSpacing/>
    </w:pPr>
    <w:rPr>
      <w:rFonts w:asciiTheme="minorHAnsi" w:eastAsiaTheme="minorHAnsi" w:hAnsiTheme="minorHAnsi" w:cstheme="minorBidi"/>
      <w:sz w:val="22"/>
      <w:szCs w:val="22"/>
    </w:rPr>
  </w:style>
  <w:style w:type="paragraph" w:styleId="Tekstpodstawowy2">
    <w:name w:val="Body Text 2"/>
    <w:basedOn w:val="Normalny"/>
    <w:link w:val="Tekstpodstawowy2Znak"/>
    <w:uiPriority w:val="99"/>
    <w:rsid w:val="007730DC"/>
    <w:pPr>
      <w:tabs>
        <w:tab w:val="num" w:pos="0"/>
      </w:tabs>
      <w:spacing w:before="120" w:line="264" w:lineRule="auto"/>
    </w:pPr>
    <w:rPr>
      <w:rFonts w:ascii="Times New Roman" w:hAnsi="Times New Roman"/>
      <w:sz w:val="22"/>
      <w:lang w:eastAsia="pl-PL"/>
    </w:rPr>
  </w:style>
  <w:style w:type="character" w:customStyle="1" w:styleId="Tekstpodstawowy2Znak">
    <w:name w:val="Tekst podstawowy 2 Znak"/>
    <w:basedOn w:val="Domylnaczcionkaakapitu"/>
    <w:link w:val="Tekstpodstawowy2"/>
    <w:uiPriority w:val="99"/>
    <w:rsid w:val="007730DC"/>
    <w:rPr>
      <w:sz w:val="22"/>
      <w:szCs w:val="24"/>
    </w:rPr>
  </w:style>
  <w:style w:type="paragraph" w:customStyle="1" w:styleId="rdo-wykres">
    <w:name w:val="Źródło - wykres"/>
    <w:basedOn w:val="Normalny"/>
    <w:link w:val="rdo-wykresChar"/>
    <w:uiPriority w:val="99"/>
    <w:rsid w:val="00100235"/>
    <w:pPr>
      <w:pBdr>
        <w:top w:val="single" w:sz="4" w:space="3" w:color="auto"/>
      </w:pBdr>
      <w:spacing w:line="264" w:lineRule="auto"/>
      <w:jc w:val="both"/>
    </w:pPr>
    <w:rPr>
      <w:i/>
      <w:sz w:val="14"/>
    </w:rPr>
  </w:style>
  <w:style w:type="character" w:customStyle="1" w:styleId="rdo-wykresChar">
    <w:name w:val="Źródło - wykres Char"/>
    <w:basedOn w:val="Domylnaczcionkaakapitu"/>
    <w:link w:val="rdo-wykres"/>
    <w:uiPriority w:val="99"/>
    <w:rsid w:val="00100235"/>
    <w:rPr>
      <w:rFonts w:ascii="Arial" w:hAnsi="Arial"/>
      <w:i/>
      <w:sz w:val="14"/>
      <w:szCs w:val="24"/>
      <w:lang w:eastAsia="en-US"/>
    </w:rPr>
  </w:style>
  <w:style w:type="paragraph" w:customStyle="1" w:styleId="Table">
    <w:name w:val="_Table"/>
    <w:aliases w:val="Italic,Table,_tIstalic,_tIstalic + 7 pt,After:  0&quot;,Before:  0.5 pt,After:  0....,Italichs,Tables,_tIst,Tablel,ItalichsH,Tablelh,TableHead,Italich,After:  0....l,Tablelsm,ItalichsHs,Tablesl,_tIstalic +,ita,Tableh,Tabless,Italicl,Italicll,Tablehead"/>
    <w:basedOn w:val="Normalny"/>
    <w:link w:val="TableChar"/>
    <w:rsid w:val="00AF6869"/>
    <w:pPr>
      <w:spacing w:before="40" w:after="40"/>
      <w:ind w:right="144"/>
    </w:pPr>
    <w:rPr>
      <w:rFonts w:eastAsia="SC STKaiti"/>
      <w:lang w:val="en-GB" w:eastAsia="zh-CN"/>
    </w:rPr>
  </w:style>
  <w:style w:type="character" w:customStyle="1" w:styleId="TableChar">
    <w:name w:val="_Table Char"/>
    <w:aliases w:val="_tIstalic Char Char,Italic Char,_tIstalic + 7 pt Char,After:  0&quot; Char,Before:  0.5 pt Char,After:  0.... Char Char,Italichs Char Char,Tables Char Char,Tablel Char Char,_tIst Char Char,Italic Char1,_tIstalic Char,Tables Char,After:  0.... Cha"/>
    <w:basedOn w:val="Domylnaczcionkaakapitu"/>
    <w:link w:val="Table"/>
    <w:rsid w:val="00AF6869"/>
    <w:rPr>
      <w:rFonts w:ascii="Arial" w:eastAsia="SC STKaiti" w:hAnsi="Arial"/>
      <w:sz w:val="18"/>
      <w:szCs w:val="24"/>
      <w:lang w:val="en-GB" w:eastAsia="zh-CN"/>
    </w:rPr>
  </w:style>
  <w:style w:type="paragraph" w:styleId="Spistreci1">
    <w:name w:val="toc 1"/>
    <w:basedOn w:val="Normalny"/>
    <w:next w:val="Normalny"/>
    <w:autoRedefine/>
    <w:uiPriority w:val="39"/>
    <w:rsid w:val="00C31D0B"/>
    <w:pPr>
      <w:tabs>
        <w:tab w:val="right" w:leader="dot" w:pos="8820"/>
      </w:tabs>
      <w:spacing w:before="120"/>
      <w:ind w:left="360" w:hanging="360"/>
    </w:pPr>
    <w:rPr>
      <w:b/>
      <w:bCs/>
      <w:smallCaps/>
      <w:noProof/>
      <w:sz w:val="20"/>
      <w:szCs w:val="20"/>
    </w:rPr>
  </w:style>
  <w:style w:type="paragraph" w:styleId="Spistreci2">
    <w:name w:val="toc 2"/>
    <w:basedOn w:val="Normalny"/>
    <w:next w:val="Normalny"/>
    <w:uiPriority w:val="39"/>
    <w:rsid w:val="00FF6B94"/>
    <w:pPr>
      <w:tabs>
        <w:tab w:val="left" w:pos="993"/>
        <w:tab w:val="right" w:leader="dot" w:pos="8799"/>
      </w:tabs>
      <w:spacing w:after="0"/>
      <w:ind w:left="851" w:hanging="487"/>
    </w:pPr>
    <w:rPr>
      <w:smallCaps/>
      <w:noProof/>
      <w:sz w:val="20"/>
      <w:szCs w:val="20"/>
    </w:rPr>
  </w:style>
  <w:style w:type="paragraph" w:styleId="Spistreci3">
    <w:name w:val="toc 3"/>
    <w:basedOn w:val="Normalny"/>
    <w:next w:val="Normalny"/>
    <w:autoRedefine/>
    <w:uiPriority w:val="39"/>
    <w:rsid w:val="006A2E30"/>
    <w:pPr>
      <w:spacing w:after="0"/>
      <w:ind w:left="360"/>
    </w:pPr>
    <w:rPr>
      <w:i/>
      <w:iCs/>
      <w:sz w:val="20"/>
      <w:szCs w:val="20"/>
    </w:rPr>
  </w:style>
  <w:style w:type="paragraph" w:styleId="Spistreci4">
    <w:name w:val="toc 4"/>
    <w:basedOn w:val="Normalny"/>
    <w:next w:val="Normalny"/>
    <w:autoRedefine/>
    <w:uiPriority w:val="39"/>
    <w:rsid w:val="006A2E30"/>
    <w:pPr>
      <w:spacing w:after="0"/>
      <w:ind w:left="540"/>
    </w:pPr>
    <w:rPr>
      <w:szCs w:val="18"/>
    </w:rPr>
  </w:style>
  <w:style w:type="paragraph" w:styleId="Spistreci5">
    <w:name w:val="toc 5"/>
    <w:basedOn w:val="Normalny"/>
    <w:next w:val="Normalny"/>
    <w:autoRedefine/>
    <w:uiPriority w:val="39"/>
    <w:rsid w:val="006A2E30"/>
    <w:pPr>
      <w:spacing w:after="0"/>
      <w:ind w:left="720"/>
    </w:pPr>
    <w:rPr>
      <w:szCs w:val="18"/>
    </w:rPr>
  </w:style>
  <w:style w:type="paragraph" w:styleId="Spistreci6">
    <w:name w:val="toc 6"/>
    <w:basedOn w:val="Normalny"/>
    <w:next w:val="Normalny"/>
    <w:autoRedefine/>
    <w:uiPriority w:val="39"/>
    <w:rsid w:val="006A2E30"/>
    <w:pPr>
      <w:spacing w:after="0"/>
      <w:ind w:left="900"/>
    </w:pPr>
    <w:rPr>
      <w:szCs w:val="18"/>
    </w:rPr>
  </w:style>
  <w:style w:type="paragraph" w:styleId="Spistreci7">
    <w:name w:val="toc 7"/>
    <w:basedOn w:val="Normalny"/>
    <w:next w:val="Normalny"/>
    <w:autoRedefine/>
    <w:uiPriority w:val="39"/>
    <w:rsid w:val="00556F42"/>
    <w:pPr>
      <w:spacing w:after="0"/>
      <w:ind w:left="1080"/>
    </w:pPr>
    <w:rPr>
      <w:rFonts w:asciiTheme="minorHAnsi" w:hAnsiTheme="minorHAnsi"/>
      <w:szCs w:val="18"/>
    </w:rPr>
  </w:style>
  <w:style w:type="paragraph" w:styleId="Spistreci8">
    <w:name w:val="toc 8"/>
    <w:basedOn w:val="Normalny"/>
    <w:next w:val="Normalny"/>
    <w:autoRedefine/>
    <w:uiPriority w:val="39"/>
    <w:rsid w:val="00556F42"/>
    <w:pPr>
      <w:spacing w:after="0"/>
      <w:ind w:left="1260"/>
    </w:pPr>
    <w:rPr>
      <w:rFonts w:asciiTheme="minorHAnsi" w:hAnsiTheme="minorHAnsi"/>
      <w:szCs w:val="18"/>
    </w:rPr>
  </w:style>
  <w:style w:type="paragraph" w:styleId="Spistreci9">
    <w:name w:val="toc 9"/>
    <w:basedOn w:val="Normalny"/>
    <w:next w:val="Normalny"/>
    <w:autoRedefine/>
    <w:uiPriority w:val="39"/>
    <w:rsid w:val="00556F42"/>
    <w:pPr>
      <w:spacing w:after="0"/>
      <w:ind w:left="1440"/>
    </w:pPr>
    <w:rPr>
      <w:rFonts w:asciiTheme="minorHAnsi" w:hAnsiTheme="minorHAnsi"/>
      <w:szCs w:val="18"/>
    </w:rPr>
  </w:style>
  <w:style w:type="character" w:styleId="Hipercze">
    <w:name w:val="Hyperlink"/>
    <w:basedOn w:val="Domylnaczcionkaakapitu"/>
    <w:uiPriority w:val="99"/>
    <w:unhideWhenUsed/>
    <w:rsid w:val="00556F42"/>
    <w:rPr>
      <w:color w:val="0000FF" w:themeColor="hyperlink"/>
      <w:u w:val="single"/>
    </w:rPr>
  </w:style>
  <w:style w:type="paragraph" w:styleId="Nagwekspisutreci">
    <w:name w:val="TOC Heading"/>
    <w:basedOn w:val="Nagwek1"/>
    <w:next w:val="Normalny"/>
    <w:uiPriority w:val="39"/>
    <w:unhideWhenUsed/>
    <w:qFormat/>
    <w:rsid w:val="00556F42"/>
    <w:pPr>
      <w:keepLines/>
      <w:spacing w:before="480" w:after="0" w:line="276" w:lineRule="auto"/>
      <w:outlineLvl w:val="9"/>
    </w:pPr>
    <w:rPr>
      <w:rFonts w:asciiTheme="majorHAnsi" w:eastAsiaTheme="majorEastAsia" w:hAnsiTheme="majorHAnsi" w:cstheme="majorBidi"/>
      <w:color w:val="365F91" w:themeColor="accent1" w:themeShade="BF"/>
    </w:rPr>
  </w:style>
  <w:style w:type="character" w:styleId="Pogrubienie">
    <w:name w:val="Strong"/>
    <w:basedOn w:val="Domylnaczcionkaakapitu"/>
    <w:uiPriority w:val="99"/>
    <w:rsid w:val="006F4BD2"/>
    <w:rPr>
      <w:b/>
      <w:bCs/>
    </w:rPr>
  </w:style>
  <w:style w:type="paragraph" w:styleId="Tekstpodstawowy">
    <w:name w:val="Body Text"/>
    <w:basedOn w:val="Normalny"/>
    <w:link w:val="TekstpodstawowyZnak"/>
    <w:unhideWhenUsed/>
    <w:rsid w:val="00A61984"/>
    <w:pPr>
      <w:jc w:val="both"/>
    </w:pPr>
    <w:rPr>
      <w:rFonts w:cs="Arial"/>
      <w:color w:val="000000" w:themeColor="text1" w:themeShade="BF"/>
      <w:sz w:val="20"/>
      <w:szCs w:val="20"/>
      <w:lang w:eastAsia="pl-PL"/>
    </w:rPr>
  </w:style>
  <w:style w:type="character" w:customStyle="1" w:styleId="TekstpodstawowyZnak">
    <w:name w:val="Tekst podstawowy Znak"/>
    <w:basedOn w:val="Domylnaczcionkaakapitu"/>
    <w:link w:val="Tekstpodstawowy"/>
    <w:uiPriority w:val="99"/>
    <w:rsid w:val="00A61984"/>
    <w:rPr>
      <w:rFonts w:ascii="Arial" w:hAnsi="Arial" w:cs="Arial"/>
      <w:color w:val="000000" w:themeColor="text1" w:themeShade="BF"/>
    </w:rPr>
  </w:style>
  <w:style w:type="table" w:customStyle="1" w:styleId="LightShading12">
    <w:name w:val="Light Shading12"/>
    <w:basedOn w:val="Standardowy"/>
    <w:uiPriority w:val="60"/>
    <w:rsid w:val="00A61984"/>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shd w:val="clear" w:color="auto" w:fill="D9D9D9" w:themeFill="background1" w:themeFillShade="D9"/>
      </w:tcPr>
    </w:tblStylePr>
  </w:style>
  <w:style w:type="paragraph" w:customStyle="1" w:styleId="Gwkatabeli">
    <w:name w:val="Główka tabeli"/>
    <w:basedOn w:val="Tekstpodstawowy"/>
    <w:rsid w:val="00A61984"/>
    <w:pPr>
      <w:spacing w:before="60" w:after="60"/>
      <w:jc w:val="left"/>
    </w:pPr>
    <w:rPr>
      <w:b/>
      <w:color w:val="FFFFFF" w:themeColor="background1"/>
    </w:rPr>
  </w:style>
  <w:style w:type="paragraph" w:customStyle="1" w:styleId="Tretabeli">
    <w:name w:val="Treść tabeli"/>
    <w:basedOn w:val="Tekstpodstawowy"/>
    <w:link w:val="TretabeliZnak"/>
    <w:qFormat/>
    <w:rsid w:val="00A61984"/>
    <w:pPr>
      <w:spacing w:before="60" w:after="60"/>
      <w:jc w:val="left"/>
    </w:pPr>
    <w:rPr>
      <w:sz w:val="18"/>
      <w:szCs w:val="18"/>
    </w:rPr>
  </w:style>
  <w:style w:type="character" w:customStyle="1" w:styleId="TretabeliZnak">
    <w:name w:val="Treść tabeli Znak"/>
    <w:basedOn w:val="Domylnaczcionkaakapitu"/>
    <w:link w:val="Tretabeli"/>
    <w:rsid w:val="009727FC"/>
    <w:rPr>
      <w:rFonts w:ascii="Arial" w:hAnsi="Arial" w:cs="Arial"/>
      <w:color w:val="000000" w:themeColor="text1" w:themeShade="BF"/>
      <w:sz w:val="18"/>
      <w:szCs w:val="18"/>
    </w:rPr>
  </w:style>
  <w:style w:type="table" w:customStyle="1" w:styleId="LightShading13">
    <w:name w:val="Light Shading13"/>
    <w:basedOn w:val="Standardowy"/>
    <w:uiPriority w:val="60"/>
    <w:rsid w:val="00E669CF"/>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shd w:val="clear" w:color="auto" w:fill="D9D9D9" w:themeFill="background1" w:themeFillShade="D9"/>
      </w:tcPr>
    </w:tblStylePr>
  </w:style>
  <w:style w:type="character" w:styleId="Tekstzastpczy">
    <w:name w:val="Placeholder Text"/>
    <w:basedOn w:val="Domylnaczcionkaakapitu"/>
    <w:uiPriority w:val="99"/>
    <w:semiHidden/>
    <w:rsid w:val="004F27A1"/>
    <w:rPr>
      <w:color w:val="808080"/>
    </w:rPr>
  </w:style>
  <w:style w:type="paragraph" w:styleId="Tekstprzypisukocowego">
    <w:name w:val="endnote text"/>
    <w:basedOn w:val="Normalny"/>
    <w:link w:val="TekstprzypisukocowegoZnak"/>
    <w:uiPriority w:val="99"/>
    <w:rsid w:val="00125929"/>
    <w:pPr>
      <w:spacing w:after="0"/>
    </w:pPr>
    <w:rPr>
      <w:sz w:val="20"/>
      <w:szCs w:val="20"/>
    </w:rPr>
  </w:style>
  <w:style w:type="character" w:customStyle="1" w:styleId="TekstprzypisukocowegoZnak">
    <w:name w:val="Tekst przypisu końcowego Znak"/>
    <w:basedOn w:val="Domylnaczcionkaakapitu"/>
    <w:link w:val="Tekstprzypisukocowego"/>
    <w:uiPriority w:val="99"/>
    <w:rsid w:val="00125929"/>
    <w:rPr>
      <w:rFonts w:ascii="Arial" w:hAnsi="Arial"/>
      <w:lang w:eastAsia="en-US"/>
    </w:rPr>
  </w:style>
  <w:style w:type="character" w:styleId="Odwoanieprzypisukocowego">
    <w:name w:val="endnote reference"/>
    <w:basedOn w:val="Domylnaczcionkaakapitu"/>
    <w:uiPriority w:val="99"/>
    <w:rsid w:val="00125929"/>
    <w:rPr>
      <w:vertAlign w:val="superscript"/>
    </w:rPr>
  </w:style>
  <w:style w:type="paragraph" w:styleId="Tekstprzypisudolnego">
    <w:name w:val="footnote text"/>
    <w:aliases w:val="fn,FT,ft,SD Footnote Text,Footnote Text AG,Podrozdział,Tekst przypisu1,Tekst przypisu2,Tekst przypisu3,Przypis dolny,Footnote,Podrozdzia3,Tekst przypisu Znak Znak Znak Znak,Tekst przypisu Znak Znak Znak Znak Znak,Fußnote,Podrozdzi"/>
    <w:basedOn w:val="Normalny"/>
    <w:link w:val="TekstprzypisudolnegoZnak"/>
    <w:uiPriority w:val="99"/>
    <w:rsid w:val="008D0193"/>
    <w:pPr>
      <w:spacing w:after="0"/>
      <w:jc w:val="both"/>
    </w:pPr>
    <w:rPr>
      <w:sz w:val="16"/>
      <w:szCs w:val="20"/>
    </w:rPr>
  </w:style>
  <w:style w:type="character" w:customStyle="1" w:styleId="TekstprzypisudolnegoZnak">
    <w:name w:val="Tekst przypisu dolnego Znak"/>
    <w:aliases w:val="fn Znak,FT Znak,ft Znak,SD Footnote Text Znak,Footnote Text AG Znak,Podrozdział Znak,Tekst przypisu1 Znak,Tekst przypisu2 Znak,Tekst przypisu3 Znak,Przypis dolny Znak,Footnote Znak,Podrozdzia3 Znak,Fußnote Znak,Podrozdzi Znak"/>
    <w:basedOn w:val="Domylnaczcionkaakapitu"/>
    <w:link w:val="Tekstprzypisudolnego"/>
    <w:uiPriority w:val="99"/>
    <w:rsid w:val="008D0193"/>
    <w:rPr>
      <w:rFonts w:ascii="Arial" w:hAnsi="Arial"/>
      <w:sz w:val="16"/>
      <w:lang w:eastAsia="en-US"/>
    </w:rPr>
  </w:style>
  <w:style w:type="character" w:styleId="Odwoanieprzypisudolnego">
    <w:name w:val="footnote reference"/>
    <w:aliases w:val="fr,FC,_Footnote Reference,_Footnote,_Footnote base Reference,_Footnote text,Footnote reference,tex,_Footnote Text,text,Footnote Reference Number,Odwołanie przypisu1,Odwołanie przypisu2"/>
    <w:basedOn w:val="Domylnaczcionkaakapitu"/>
    <w:uiPriority w:val="99"/>
    <w:rsid w:val="00D01FAA"/>
    <w:rPr>
      <w:vertAlign w:val="superscript"/>
    </w:rPr>
  </w:style>
  <w:style w:type="character" w:styleId="Odwoaniedokomentarza">
    <w:name w:val="annotation reference"/>
    <w:basedOn w:val="Domylnaczcionkaakapitu"/>
    <w:uiPriority w:val="99"/>
    <w:rsid w:val="0016538D"/>
    <w:rPr>
      <w:sz w:val="16"/>
      <w:szCs w:val="16"/>
    </w:rPr>
  </w:style>
  <w:style w:type="paragraph" w:styleId="Tekstkomentarza">
    <w:name w:val="annotation text"/>
    <w:basedOn w:val="Normalny"/>
    <w:link w:val="TekstkomentarzaZnak"/>
    <w:uiPriority w:val="99"/>
    <w:rsid w:val="0016538D"/>
    <w:rPr>
      <w:sz w:val="20"/>
      <w:szCs w:val="20"/>
    </w:rPr>
  </w:style>
  <w:style w:type="character" w:customStyle="1" w:styleId="TekstkomentarzaZnak">
    <w:name w:val="Tekst komentarza Znak"/>
    <w:basedOn w:val="Domylnaczcionkaakapitu"/>
    <w:link w:val="Tekstkomentarza"/>
    <w:uiPriority w:val="99"/>
    <w:rsid w:val="0016538D"/>
    <w:rPr>
      <w:rFonts w:ascii="Arial" w:hAnsi="Arial"/>
      <w:lang w:eastAsia="en-US"/>
    </w:rPr>
  </w:style>
  <w:style w:type="paragraph" w:styleId="Tematkomentarza">
    <w:name w:val="annotation subject"/>
    <w:basedOn w:val="Tekstkomentarza"/>
    <w:next w:val="Tekstkomentarza"/>
    <w:link w:val="TematkomentarzaZnak"/>
    <w:uiPriority w:val="99"/>
    <w:rsid w:val="00A77FE1"/>
    <w:rPr>
      <w:b/>
      <w:bCs/>
    </w:rPr>
  </w:style>
  <w:style w:type="character" w:customStyle="1" w:styleId="TematkomentarzaZnak">
    <w:name w:val="Temat komentarza Znak"/>
    <w:basedOn w:val="TekstkomentarzaZnak"/>
    <w:link w:val="Tematkomentarza"/>
    <w:uiPriority w:val="99"/>
    <w:rsid w:val="00A77FE1"/>
    <w:rPr>
      <w:rFonts w:ascii="Arial" w:hAnsi="Arial"/>
      <w:b/>
      <w:bCs/>
      <w:lang w:eastAsia="en-US"/>
    </w:rPr>
  </w:style>
  <w:style w:type="character" w:styleId="Uwydatnienie">
    <w:name w:val="Emphasis"/>
    <w:basedOn w:val="Domylnaczcionkaakapitu"/>
    <w:uiPriority w:val="20"/>
    <w:rsid w:val="00CF53EF"/>
    <w:rPr>
      <w:i/>
      <w:iCs/>
    </w:rPr>
  </w:style>
  <w:style w:type="table" w:customStyle="1" w:styleId="LightShading11">
    <w:name w:val="Light Shading11"/>
    <w:basedOn w:val="Standardowy"/>
    <w:uiPriority w:val="60"/>
    <w:rsid w:val="002C5F10"/>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shd w:val="clear" w:color="auto" w:fill="D9D9D9" w:themeFill="background1" w:themeFillShade="D9"/>
      </w:tcPr>
    </w:tblStylePr>
  </w:style>
  <w:style w:type="paragraph" w:customStyle="1" w:styleId="TableHead">
    <w:name w:val="_TableHead"/>
    <w:basedOn w:val="Table"/>
    <w:link w:val="TableHeadChar1"/>
    <w:rsid w:val="004434E1"/>
    <w:pPr>
      <w:keepNext/>
      <w:jc w:val="center"/>
    </w:pPr>
    <w:rPr>
      <w:b/>
      <w:color w:val="000080"/>
      <w:sz w:val="20"/>
      <w:lang w:val="en-US"/>
    </w:rPr>
  </w:style>
  <w:style w:type="character" w:customStyle="1" w:styleId="TableHeadChar1">
    <w:name w:val="_TableHead Char1"/>
    <w:basedOn w:val="Domylnaczcionkaakapitu"/>
    <w:link w:val="TableHead"/>
    <w:rsid w:val="004434E1"/>
    <w:rPr>
      <w:rFonts w:ascii="Arial" w:eastAsia="SC STKaiti" w:hAnsi="Arial"/>
      <w:b/>
      <w:color w:val="000080"/>
      <w:szCs w:val="24"/>
      <w:lang w:val="en-US" w:eastAsia="zh-CN"/>
    </w:rPr>
  </w:style>
  <w:style w:type="character" w:customStyle="1" w:styleId="shorttext1">
    <w:name w:val="short_text1"/>
    <w:basedOn w:val="Domylnaczcionkaakapitu"/>
    <w:rsid w:val="00053683"/>
    <w:rPr>
      <w:sz w:val="17"/>
      <w:szCs w:val="17"/>
    </w:rPr>
  </w:style>
  <w:style w:type="paragraph" w:customStyle="1" w:styleId="Wniosek">
    <w:name w:val="Wniosek"/>
    <w:basedOn w:val="Normal1"/>
    <w:link w:val="WniosekChar"/>
    <w:qFormat/>
    <w:rsid w:val="00AD2220"/>
    <w:pPr>
      <w:keepNext/>
      <w:pBdr>
        <w:top w:val="single" w:sz="36" w:space="1" w:color="FFD200"/>
        <w:bottom w:val="single" w:sz="4" w:space="1" w:color="auto"/>
      </w:pBdr>
    </w:pPr>
    <w:rPr>
      <w:b/>
      <w:sz w:val="22"/>
      <w:szCs w:val="22"/>
    </w:rPr>
  </w:style>
  <w:style w:type="character" w:customStyle="1" w:styleId="WniosekChar">
    <w:name w:val="Wniosek Char"/>
    <w:basedOn w:val="Nagwek2Znak"/>
    <w:link w:val="Wniosek"/>
    <w:rsid w:val="00AD2220"/>
    <w:rPr>
      <w:rFonts w:ascii="Arial" w:hAnsi="Arial" w:cs="Arial"/>
      <w:b/>
      <w:bCs/>
      <w:iCs/>
      <w:sz w:val="22"/>
      <w:szCs w:val="22"/>
      <w:lang w:eastAsia="en-US"/>
    </w:rPr>
  </w:style>
  <w:style w:type="paragraph" w:customStyle="1" w:styleId="Wniosek-bullet">
    <w:name w:val="Wniosek - bullet"/>
    <w:basedOn w:val="Bullety"/>
    <w:link w:val="Wniosek-bulletChar"/>
    <w:qFormat/>
    <w:rsid w:val="006A4466"/>
    <w:pPr>
      <w:pBdr>
        <w:bottom w:val="single" w:sz="4" w:space="3" w:color="7F7F7F" w:themeColor="text1" w:themeTint="80"/>
      </w:pBdr>
    </w:pPr>
  </w:style>
  <w:style w:type="character" w:customStyle="1" w:styleId="Wniosek-bulletChar">
    <w:name w:val="Wniosek - bullet Char"/>
    <w:basedOn w:val="BulletyChar"/>
    <w:link w:val="Wniosek-bullet"/>
    <w:rsid w:val="006A4466"/>
    <w:rPr>
      <w:rFonts w:ascii="Arial" w:hAnsi="Arial"/>
      <w:sz w:val="18"/>
      <w:szCs w:val="24"/>
      <w:lang w:val="en-US" w:eastAsia="en-US"/>
    </w:rPr>
  </w:style>
  <w:style w:type="character" w:customStyle="1" w:styleId="luchili">
    <w:name w:val="luc_hili"/>
    <w:basedOn w:val="Domylnaczcionkaakapitu"/>
    <w:rsid w:val="008D0945"/>
  </w:style>
  <w:style w:type="paragraph" w:styleId="Lista-kontynuacja">
    <w:name w:val="List Continue"/>
    <w:basedOn w:val="Normalny"/>
    <w:rsid w:val="001D22DF"/>
    <w:pPr>
      <w:ind w:left="283"/>
      <w:contextualSpacing/>
    </w:pPr>
  </w:style>
  <w:style w:type="paragraph" w:styleId="Lista-kontynuacja2">
    <w:name w:val="List Continue 2"/>
    <w:basedOn w:val="Normalny"/>
    <w:rsid w:val="001D22DF"/>
    <w:pPr>
      <w:ind w:left="566"/>
      <w:contextualSpacing/>
    </w:pPr>
  </w:style>
  <w:style w:type="paragraph" w:styleId="Lista-kontynuacja3">
    <w:name w:val="List Continue 3"/>
    <w:basedOn w:val="Normalny"/>
    <w:rsid w:val="001D22DF"/>
    <w:pPr>
      <w:ind w:left="849"/>
      <w:contextualSpacing/>
    </w:pPr>
  </w:style>
  <w:style w:type="paragraph" w:styleId="Lista-kontynuacja4">
    <w:name w:val="List Continue 4"/>
    <w:basedOn w:val="Normalny"/>
    <w:rsid w:val="001D22DF"/>
    <w:pPr>
      <w:ind w:left="1132"/>
      <w:contextualSpacing/>
    </w:pPr>
  </w:style>
  <w:style w:type="paragraph" w:customStyle="1" w:styleId="InsideAddress">
    <w:name w:val="Inside Address"/>
    <w:basedOn w:val="Normalny"/>
    <w:rsid w:val="001D22DF"/>
  </w:style>
  <w:style w:type="paragraph" w:styleId="Legenda">
    <w:name w:val="caption"/>
    <w:aliases w:val="Legenda Znak"/>
    <w:basedOn w:val="Normalny"/>
    <w:next w:val="Normalny"/>
    <w:link w:val="LegendaZnak1"/>
    <w:uiPriority w:val="35"/>
    <w:unhideWhenUsed/>
    <w:rsid w:val="00F61F73"/>
    <w:pPr>
      <w:keepNext/>
      <w:spacing w:before="240"/>
      <w:jc w:val="both"/>
    </w:pPr>
    <w:rPr>
      <w:b/>
      <w:bCs/>
      <w:sz w:val="20"/>
      <w:szCs w:val="20"/>
    </w:rPr>
  </w:style>
  <w:style w:type="character" w:customStyle="1" w:styleId="LegendaZnak1">
    <w:name w:val="Legenda Znak1"/>
    <w:aliases w:val="Legenda Znak Znak"/>
    <w:basedOn w:val="Domylnaczcionkaakapitu"/>
    <w:link w:val="Legenda"/>
    <w:rsid w:val="00F61F73"/>
    <w:rPr>
      <w:rFonts w:ascii="Arial" w:hAnsi="Arial"/>
      <w:b/>
      <w:bCs/>
      <w:lang w:eastAsia="en-US"/>
    </w:rPr>
  </w:style>
  <w:style w:type="paragraph" w:customStyle="1" w:styleId="rdo0">
    <w:name w:val="żródło"/>
    <w:basedOn w:val="Legenda"/>
    <w:link w:val="rdoChar0"/>
    <w:qFormat/>
    <w:rsid w:val="00B71B40"/>
    <w:pPr>
      <w:spacing w:before="40"/>
    </w:pPr>
    <w:rPr>
      <w:b w:val="0"/>
      <w:i/>
      <w:sz w:val="16"/>
      <w:szCs w:val="16"/>
    </w:rPr>
  </w:style>
  <w:style w:type="character" w:customStyle="1" w:styleId="rdoChar0">
    <w:name w:val="żródło Char"/>
    <w:basedOn w:val="LegendaZnak1"/>
    <w:link w:val="rdo0"/>
    <w:rsid w:val="00B71B40"/>
    <w:rPr>
      <w:rFonts w:ascii="Arial" w:hAnsi="Arial"/>
      <w:b/>
      <w:bCs/>
      <w:i/>
      <w:sz w:val="16"/>
      <w:szCs w:val="16"/>
      <w:lang w:eastAsia="en-US"/>
    </w:rPr>
  </w:style>
  <w:style w:type="table" w:customStyle="1" w:styleId="LightShading14">
    <w:name w:val="Light Shading14"/>
    <w:basedOn w:val="Standardowy"/>
    <w:uiPriority w:val="60"/>
    <w:rsid w:val="00C5299B"/>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shd w:val="clear" w:color="auto" w:fill="D9D9D9" w:themeFill="background1" w:themeFillShade="D9"/>
      </w:tcPr>
    </w:tblStylePr>
  </w:style>
  <w:style w:type="table" w:customStyle="1" w:styleId="LightShading121">
    <w:name w:val="Light Shading121"/>
    <w:basedOn w:val="Standardowy"/>
    <w:uiPriority w:val="60"/>
    <w:rsid w:val="00C5299B"/>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shd w:val="clear" w:color="auto" w:fill="D9D9D9" w:themeFill="background1" w:themeFillShade="D9"/>
      </w:tcPr>
    </w:tblStylePr>
  </w:style>
  <w:style w:type="table" w:customStyle="1" w:styleId="LightShading131">
    <w:name w:val="Light Shading131"/>
    <w:basedOn w:val="Standardowy"/>
    <w:uiPriority w:val="60"/>
    <w:rsid w:val="00C5299B"/>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shd w:val="clear" w:color="auto" w:fill="D9D9D9" w:themeFill="background1" w:themeFillShade="D9"/>
      </w:tcPr>
    </w:tblStylePr>
  </w:style>
  <w:style w:type="table" w:customStyle="1" w:styleId="LightShading111">
    <w:name w:val="Light Shading111"/>
    <w:basedOn w:val="Standardowy"/>
    <w:uiPriority w:val="60"/>
    <w:rsid w:val="00C5299B"/>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shd w:val="clear" w:color="auto" w:fill="D9D9D9" w:themeFill="background1" w:themeFillShade="D9"/>
      </w:tcPr>
    </w:tblStylePr>
  </w:style>
  <w:style w:type="paragraph" w:styleId="Bezodstpw">
    <w:name w:val="No Spacing"/>
    <w:uiPriority w:val="1"/>
    <w:qFormat/>
    <w:rsid w:val="00C5299B"/>
    <w:rPr>
      <w:rFonts w:asciiTheme="minorHAnsi" w:eastAsiaTheme="minorHAnsi" w:hAnsiTheme="minorHAnsi" w:cstheme="minorBidi"/>
      <w:sz w:val="22"/>
      <w:szCs w:val="22"/>
      <w:lang w:eastAsia="en-US"/>
    </w:rPr>
  </w:style>
  <w:style w:type="paragraph" w:customStyle="1" w:styleId="Default">
    <w:name w:val="Default"/>
    <w:rsid w:val="00C5299B"/>
    <w:pPr>
      <w:autoSpaceDE w:val="0"/>
      <w:autoSpaceDN w:val="0"/>
      <w:adjustRightInd w:val="0"/>
    </w:pPr>
    <w:rPr>
      <w:rFonts w:eastAsiaTheme="minorHAnsi"/>
      <w:color w:val="000000"/>
      <w:sz w:val="24"/>
      <w:szCs w:val="24"/>
      <w:lang w:eastAsia="en-US"/>
    </w:rPr>
  </w:style>
  <w:style w:type="paragraph" w:styleId="Poprawka">
    <w:name w:val="Revision"/>
    <w:hidden/>
    <w:uiPriority w:val="99"/>
    <w:semiHidden/>
    <w:rsid w:val="00B37167"/>
    <w:rPr>
      <w:rFonts w:ascii="Arial" w:hAnsi="Arial"/>
      <w:sz w:val="18"/>
      <w:szCs w:val="24"/>
      <w:lang w:eastAsia="en-US"/>
    </w:rPr>
  </w:style>
  <w:style w:type="paragraph" w:customStyle="1" w:styleId="Przesankinagwek">
    <w:name w:val="Przesłanki nagłówek"/>
    <w:basedOn w:val="Nagwek4"/>
    <w:link w:val="PrzesankinagwekZnak"/>
    <w:rsid w:val="00E4735D"/>
    <w:pPr>
      <w:pBdr>
        <w:top w:val="single" w:sz="8" w:space="1" w:color="FFD200"/>
        <w:left w:val="single" w:sz="8" w:space="4" w:color="FFD200"/>
        <w:bottom w:val="single" w:sz="8" w:space="1" w:color="FFD200"/>
        <w:right w:val="single" w:sz="8" w:space="4" w:color="FFD200"/>
      </w:pBdr>
      <w:shd w:val="clear" w:color="auto" w:fill="FFF27F"/>
    </w:pPr>
  </w:style>
  <w:style w:type="character" w:customStyle="1" w:styleId="PrzesankinagwekZnak">
    <w:name w:val="Przesłanki nagłówek Znak"/>
    <w:basedOn w:val="Nagwek4Znak"/>
    <w:link w:val="Przesankinagwek"/>
    <w:rsid w:val="00E4735D"/>
    <w:rPr>
      <w:rFonts w:ascii="Arial" w:hAnsi="Arial" w:cs="Arial"/>
      <w:b/>
      <w:bCs/>
      <w:sz w:val="22"/>
      <w:szCs w:val="22"/>
      <w:u w:val="single"/>
      <w:shd w:val="clear" w:color="auto" w:fill="FFF27F"/>
      <w:lang w:eastAsia="en-US"/>
    </w:rPr>
  </w:style>
  <w:style w:type="paragraph" w:customStyle="1" w:styleId="Przesankibody">
    <w:name w:val="Przesłanki body"/>
    <w:basedOn w:val="Bullety"/>
    <w:link w:val="PrzesankibodyZnak"/>
    <w:rsid w:val="00E4735D"/>
    <w:pPr>
      <w:numPr>
        <w:numId w:val="0"/>
      </w:numPr>
      <w:pBdr>
        <w:top w:val="single" w:sz="8" w:space="1" w:color="FFD200"/>
        <w:left w:val="single" w:sz="8" w:space="4" w:color="FFD200"/>
        <w:bottom w:val="single" w:sz="8" w:space="1" w:color="FFD200"/>
        <w:right w:val="single" w:sz="8" w:space="4" w:color="FFD200"/>
      </w:pBdr>
      <w:shd w:val="clear" w:color="auto" w:fill="FFF27F"/>
    </w:pPr>
  </w:style>
  <w:style w:type="character" w:customStyle="1" w:styleId="PrzesankibodyZnak">
    <w:name w:val="Przesłanki body Znak"/>
    <w:basedOn w:val="BulletyChar"/>
    <w:link w:val="Przesankibody"/>
    <w:rsid w:val="00E4735D"/>
    <w:rPr>
      <w:rFonts w:ascii="Arial" w:hAnsi="Arial"/>
      <w:sz w:val="18"/>
      <w:szCs w:val="24"/>
      <w:shd w:val="clear" w:color="auto" w:fill="FFF27F"/>
      <w:lang w:val="en-US" w:eastAsia="en-US"/>
    </w:rPr>
  </w:style>
  <w:style w:type="paragraph" w:customStyle="1" w:styleId="Buletywady">
    <w:name w:val="Bulety wady"/>
    <w:basedOn w:val="Bullety"/>
    <w:rsid w:val="008D7B9A"/>
    <w:pPr>
      <w:spacing w:before="60"/>
    </w:pPr>
    <w:rPr>
      <w:color w:val="000000" w:themeColor="text1" w:themeShade="BF"/>
    </w:rPr>
  </w:style>
  <w:style w:type="paragraph" w:customStyle="1" w:styleId="Rysunek">
    <w:name w:val="Rysunek"/>
    <w:basedOn w:val="Normalny"/>
    <w:qFormat/>
    <w:rsid w:val="00382DCC"/>
    <w:pPr>
      <w:pBdr>
        <w:top w:val="single" w:sz="4" w:space="1" w:color="808080" w:themeColor="background1" w:themeShade="80"/>
        <w:bottom w:val="single" w:sz="4" w:space="1" w:color="808080" w:themeColor="background1" w:themeShade="80"/>
      </w:pBdr>
      <w:spacing w:before="60" w:after="60"/>
      <w:jc w:val="both"/>
    </w:pPr>
    <w:rPr>
      <w:sz w:val="20"/>
      <w:lang w:eastAsia="pl-PL"/>
    </w:rPr>
  </w:style>
  <w:style w:type="paragraph" w:customStyle="1" w:styleId="Style1">
    <w:name w:val="Style1"/>
    <w:basedOn w:val="Nagwek2"/>
    <w:link w:val="Style1Char"/>
    <w:rsid w:val="00787C77"/>
  </w:style>
  <w:style w:type="character" w:customStyle="1" w:styleId="Style1Char">
    <w:name w:val="Style1 Char"/>
    <w:basedOn w:val="Nagwek2Znak"/>
    <w:link w:val="Style1"/>
    <w:rsid w:val="00787C77"/>
    <w:rPr>
      <w:rFonts w:ascii="Arial" w:hAnsi="Arial" w:cs="Arial"/>
      <w:b/>
      <w:bCs/>
      <w:iCs/>
      <w:sz w:val="24"/>
      <w:szCs w:val="24"/>
      <w:lang w:eastAsia="en-US"/>
    </w:rPr>
  </w:style>
  <w:style w:type="paragraph" w:styleId="Tekstpodstawowywcity">
    <w:name w:val="Body Text Indent"/>
    <w:basedOn w:val="Normalny"/>
    <w:link w:val="TekstpodstawowywcityZnak"/>
    <w:rsid w:val="008D5FE4"/>
    <w:pPr>
      <w:ind w:left="283"/>
    </w:pPr>
  </w:style>
  <w:style w:type="character" w:customStyle="1" w:styleId="TekstpodstawowywcityZnak">
    <w:name w:val="Tekst podstawowy wcięty Znak"/>
    <w:basedOn w:val="Domylnaczcionkaakapitu"/>
    <w:link w:val="Tekstpodstawowywcity"/>
    <w:rsid w:val="008D5FE4"/>
    <w:rPr>
      <w:rFonts w:ascii="Arial" w:hAnsi="Arial"/>
      <w:sz w:val="18"/>
      <w:szCs w:val="24"/>
      <w:lang w:eastAsia="en-US"/>
    </w:rPr>
  </w:style>
  <w:style w:type="table" w:customStyle="1" w:styleId="LightShading15">
    <w:name w:val="Light Shading15"/>
    <w:basedOn w:val="Standardowy"/>
    <w:uiPriority w:val="60"/>
    <w:rsid w:val="00136024"/>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shd w:val="clear" w:color="auto" w:fill="D9D9D9" w:themeFill="background1" w:themeFillShade="D9"/>
      </w:tcPr>
    </w:tblStylePr>
  </w:style>
  <w:style w:type="paragraph" w:customStyle="1" w:styleId="Proposal">
    <w:name w:val="Proposal"/>
    <w:basedOn w:val="Normalny"/>
    <w:link w:val="ProposalChar"/>
    <w:rsid w:val="000E2DAB"/>
    <w:pPr>
      <w:spacing w:before="120" w:line="360" w:lineRule="auto"/>
      <w:jc w:val="both"/>
    </w:pPr>
    <w:rPr>
      <w:sz w:val="20"/>
      <w:szCs w:val="22"/>
    </w:rPr>
  </w:style>
  <w:style w:type="character" w:customStyle="1" w:styleId="ProposalChar">
    <w:name w:val="Proposal Char"/>
    <w:basedOn w:val="Domylnaczcionkaakapitu"/>
    <w:link w:val="Proposal"/>
    <w:rsid w:val="000E2DAB"/>
    <w:rPr>
      <w:rFonts w:ascii="Arial" w:hAnsi="Arial"/>
      <w:szCs w:val="22"/>
      <w:lang w:eastAsia="en-US"/>
    </w:rPr>
  </w:style>
  <w:style w:type="table" w:styleId="Tabela-Wspczesny">
    <w:name w:val="Table Contemporary"/>
    <w:basedOn w:val="Standardowy"/>
    <w:rsid w:val="00DC0B28"/>
    <w:pPr>
      <w:spacing w:after="12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apple-converted-space">
    <w:name w:val="apple-converted-space"/>
    <w:basedOn w:val="Domylnaczcionkaakapitu"/>
    <w:rsid w:val="00C105E4"/>
  </w:style>
  <w:style w:type="paragraph" w:styleId="NormalnyWeb">
    <w:name w:val="Normal (Web)"/>
    <w:basedOn w:val="Normalny"/>
    <w:uiPriority w:val="99"/>
    <w:unhideWhenUsed/>
    <w:rsid w:val="000F3312"/>
    <w:pPr>
      <w:spacing w:before="100" w:beforeAutospacing="1" w:after="100" w:afterAutospacing="1"/>
    </w:pPr>
    <w:rPr>
      <w:rFonts w:ascii="Times New Roman" w:hAnsi="Times New Roman"/>
      <w:sz w:val="24"/>
      <w:lang w:eastAsia="pl-PL"/>
    </w:rPr>
  </w:style>
  <w:style w:type="paragraph" w:customStyle="1" w:styleId="Bullet2">
    <w:name w:val="Bullet 2"/>
    <w:basedOn w:val="Bullet1"/>
    <w:rsid w:val="000F3312"/>
    <w:pPr>
      <w:tabs>
        <w:tab w:val="clear" w:pos="360"/>
      </w:tabs>
      <w:ind w:left="709"/>
      <w:jc w:val="both"/>
    </w:pPr>
    <w:rPr>
      <w:sz w:val="20"/>
      <w:szCs w:val="20"/>
      <w:lang w:val="pl-PL"/>
    </w:rPr>
  </w:style>
  <w:style w:type="table" w:customStyle="1" w:styleId="Tabelaliczbowa">
    <w:name w:val="Tabela liczbowa"/>
    <w:basedOn w:val="Standardowy"/>
    <w:uiPriority w:val="99"/>
    <w:qFormat/>
    <w:rsid w:val="000F3312"/>
    <w:pPr>
      <w:spacing w:before="60" w:after="60"/>
      <w:jc w:val="right"/>
    </w:pPr>
    <w:rPr>
      <w:rFonts w:ascii="Arial" w:hAnsi="Arial"/>
      <w:sz w:val="18"/>
    </w:rPr>
    <w:tblPr>
      <w:tblStyleRowBandSize w:val="1"/>
      <w:tblBorders>
        <w:insideH w:val="single" w:sz="4" w:space="0" w:color="auto"/>
      </w:tblBorders>
    </w:tblPr>
    <w:tcPr>
      <w:vAlign w:val="center"/>
    </w:tcPr>
    <w:tblStylePr w:type="firstRow">
      <w:rPr>
        <w:rFonts w:ascii="Arial" w:hAnsi="Arial"/>
        <w:b/>
        <w:color w:val="auto"/>
        <w:sz w:val="18"/>
      </w:rPr>
      <w:tblPr/>
      <w:tcPr>
        <w:tcBorders>
          <w:top w:val="single" w:sz="4" w:space="0" w:color="auto"/>
          <w:left w:val="nil"/>
          <w:bottom w:val="single" w:sz="18" w:space="0" w:color="auto"/>
          <w:right w:val="nil"/>
          <w:insideH w:val="nil"/>
          <w:insideV w:val="nil"/>
          <w:tl2br w:val="nil"/>
          <w:tr2bl w:val="nil"/>
        </w:tcBorders>
        <w:shd w:val="clear" w:color="auto" w:fill="D9D9D9" w:themeFill="background1" w:themeFillShade="D9"/>
      </w:tcPr>
    </w:tblStylePr>
    <w:tblStylePr w:type="lastRow">
      <w:tblPr/>
      <w:tcPr>
        <w:tcBorders>
          <w:bottom w:val="single" w:sz="4" w:space="0" w:color="auto"/>
        </w:tcBorders>
      </w:tcPr>
    </w:tblStylePr>
    <w:tblStylePr w:type="firstCol">
      <w:pPr>
        <w:wordWrap/>
        <w:spacing w:beforeLines="0" w:beforeAutospacing="0" w:afterLines="0" w:afterAutospacing="0"/>
        <w:jc w:val="left"/>
      </w:pPr>
      <w:rPr>
        <w:rFonts w:ascii="Arial" w:hAnsi="Arial"/>
        <w:sz w:val="18"/>
      </w:rPr>
    </w:tblStylePr>
    <w:tblStylePr w:type="band1Horz">
      <w:tblPr/>
      <w:tcPr>
        <w:tcBorders>
          <w:top w:val="nil"/>
          <w:left w:val="nil"/>
          <w:bottom w:val="nil"/>
          <w:right w:val="nil"/>
          <w:insideH w:val="nil"/>
          <w:insideV w:val="nil"/>
          <w:tl2br w:val="nil"/>
          <w:tr2bl w:val="nil"/>
        </w:tcBorders>
      </w:tcPr>
    </w:tblStylePr>
  </w:style>
  <w:style w:type="paragraph" w:customStyle="1" w:styleId="Bullet">
    <w:name w:val="Bullet"/>
    <w:basedOn w:val="Akapitzlist"/>
    <w:link w:val="BulletChar"/>
    <w:qFormat/>
    <w:rsid w:val="00E11322"/>
    <w:pPr>
      <w:numPr>
        <w:numId w:val="3"/>
      </w:numPr>
      <w:spacing w:after="120"/>
      <w:contextualSpacing w:val="0"/>
      <w:jc w:val="both"/>
    </w:pPr>
    <w:rPr>
      <w:rFonts w:ascii="Arial" w:eastAsia="Times New Roman" w:hAnsi="Arial" w:cs="Times New Roman"/>
      <w:sz w:val="20"/>
      <w:szCs w:val="24"/>
    </w:rPr>
  </w:style>
  <w:style w:type="paragraph" w:customStyle="1" w:styleId="a">
    <w:name w:val="ń"/>
    <w:basedOn w:val="Bullet1"/>
    <w:rsid w:val="000F3312"/>
    <w:pPr>
      <w:tabs>
        <w:tab w:val="clear" w:pos="360"/>
      </w:tabs>
    </w:pPr>
    <w:rPr>
      <w:lang w:val="pl-PL"/>
    </w:rPr>
  </w:style>
  <w:style w:type="table" w:customStyle="1" w:styleId="Tabelawykres">
    <w:name w:val="Tabela wykres"/>
    <w:basedOn w:val="Standardowy"/>
    <w:uiPriority w:val="99"/>
    <w:qFormat/>
    <w:rsid w:val="00D17A86"/>
    <w:pPr>
      <w:spacing w:before="60" w:after="60"/>
      <w:jc w:val="center"/>
    </w:pPr>
    <w:rPr>
      <w:rFonts w:ascii="Arial" w:hAnsi="Arial"/>
      <w:sz w:val="18"/>
    </w:rPr>
    <w:tblPr>
      <w:tblBorders>
        <w:top w:val="single" w:sz="4" w:space="0" w:color="auto"/>
        <w:bottom w:val="single" w:sz="4" w:space="0" w:color="auto"/>
        <w:insideH w:val="single" w:sz="4" w:space="0" w:color="auto"/>
      </w:tblBorders>
    </w:tblPr>
    <w:tcPr>
      <w:vAlign w:val="center"/>
    </w:tcPr>
  </w:style>
  <w:style w:type="table" w:styleId="Tabela-Kolumnowy2">
    <w:name w:val="Table Columns 2"/>
    <w:basedOn w:val="Standardowy"/>
    <w:rsid w:val="00D252D3"/>
    <w:pPr>
      <w:spacing w:after="12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Listanumerowana">
    <w:name w:val="List Number"/>
    <w:basedOn w:val="Normalny"/>
    <w:rsid w:val="003767DE"/>
    <w:pPr>
      <w:tabs>
        <w:tab w:val="num" w:pos="360"/>
      </w:tabs>
      <w:spacing w:before="138" w:after="0" w:line="260" w:lineRule="atLeast"/>
      <w:ind w:left="360" w:hanging="360"/>
    </w:pPr>
    <w:rPr>
      <w:rFonts w:ascii="Times New Roman" w:hAnsi="Times New Roman"/>
      <w:sz w:val="24"/>
      <w:szCs w:val="20"/>
      <w:lang w:val="en-GB"/>
    </w:rPr>
  </w:style>
  <w:style w:type="paragraph" w:customStyle="1" w:styleId="ari">
    <w:name w:val="ari"/>
    <w:basedOn w:val="Normalny"/>
    <w:rsid w:val="00AF71C6"/>
    <w:pPr>
      <w:spacing w:before="40" w:after="40"/>
      <w:jc w:val="center"/>
    </w:pPr>
    <w:rPr>
      <w:rFonts w:ascii="MS Mincho" w:eastAsia="MS Mincho" w:hAnsi="MS Mincho" w:cs="MS Mincho"/>
      <w:color w:val="333333"/>
      <w:sz w:val="28"/>
      <w:shd w:val="clear" w:color="auto" w:fill="FFFFFF"/>
    </w:rPr>
  </w:style>
  <w:style w:type="paragraph" w:customStyle="1" w:styleId="arial">
    <w:name w:val="arial"/>
    <w:basedOn w:val="Akapitzlist"/>
    <w:rsid w:val="00AF71C6"/>
    <w:pPr>
      <w:spacing w:before="40" w:after="40" w:line="240" w:lineRule="auto"/>
      <w:ind w:left="0"/>
      <w:contextualSpacing w:val="0"/>
      <w:jc w:val="center"/>
    </w:pPr>
    <w:rPr>
      <w:rFonts w:ascii="MS Mincho" w:eastAsia="MS Mincho" w:hAnsi="MS Mincho" w:cs="MS Mincho"/>
      <w:color w:val="333333"/>
      <w:sz w:val="28"/>
      <w:szCs w:val="24"/>
      <w:shd w:val="clear" w:color="auto" w:fill="FFFFFF"/>
    </w:rPr>
  </w:style>
  <w:style w:type="paragraph" w:customStyle="1" w:styleId="ReportText">
    <w:name w:val="Report Text"/>
    <w:link w:val="ReportTextChar"/>
    <w:uiPriority w:val="99"/>
    <w:rsid w:val="00E6048B"/>
    <w:pPr>
      <w:spacing w:before="170" w:after="170" w:line="260" w:lineRule="exact"/>
      <w:jc w:val="both"/>
    </w:pPr>
    <w:rPr>
      <w:sz w:val="24"/>
      <w:lang w:val="en-GB" w:eastAsia="en-US"/>
    </w:rPr>
  </w:style>
  <w:style w:type="character" w:customStyle="1" w:styleId="ReportTextChar">
    <w:name w:val="Report Text Char"/>
    <w:basedOn w:val="Domylnaczcionkaakapitu"/>
    <w:link w:val="ReportText"/>
    <w:uiPriority w:val="99"/>
    <w:locked/>
    <w:rsid w:val="00E6048B"/>
    <w:rPr>
      <w:sz w:val="24"/>
      <w:lang w:val="en-GB" w:eastAsia="en-US"/>
    </w:rPr>
  </w:style>
  <w:style w:type="table" w:customStyle="1" w:styleId="TabelaEY">
    <w:name w:val="Tabela E&amp;Y"/>
    <w:basedOn w:val="Standardowy"/>
    <w:uiPriority w:val="99"/>
    <w:qFormat/>
    <w:rsid w:val="006E7680"/>
    <w:pPr>
      <w:spacing w:before="40" w:after="40"/>
    </w:pPr>
    <w:tblPr>
      <w:tblStyleRowBandSize w:val="1"/>
    </w:tblPr>
    <w:tblStylePr w:type="firstRow">
      <w:tblPr/>
      <w:tcPr>
        <w:tcBorders>
          <w:top w:val="single" w:sz="4" w:space="0" w:color="auto"/>
          <w:bottom w:val="single" w:sz="12" w:space="0" w:color="auto"/>
        </w:tcBorders>
        <w:shd w:val="clear" w:color="auto" w:fill="D9D9D9" w:themeFill="background1" w:themeFillShade="D9"/>
      </w:tcPr>
    </w:tblStylePr>
    <w:tblStylePr w:type="lastRow">
      <w:tblPr/>
      <w:tcPr>
        <w:tcBorders>
          <w:bottom w:val="single" w:sz="4" w:space="0" w:color="auto"/>
        </w:tcBorders>
      </w:tcPr>
    </w:tblStylePr>
    <w:tblStylePr w:type="band1Horz">
      <w:rPr>
        <w:rFonts w:ascii="Arial" w:hAnsi="Arial"/>
        <w:b w:val="0"/>
        <w:sz w:val="20"/>
      </w:rPr>
      <w:tblPr/>
      <w:tcPr>
        <w:tcBorders>
          <w:bottom w:val="single" w:sz="4" w:space="0" w:color="auto"/>
        </w:tcBorders>
      </w:tcPr>
    </w:tblStylePr>
    <w:tblStylePr w:type="band2Horz">
      <w:rPr>
        <w:rFonts w:ascii="Arial" w:hAnsi="Arial"/>
        <w:b w:val="0"/>
        <w:sz w:val="20"/>
      </w:rPr>
      <w:tblPr/>
      <w:tcPr>
        <w:tcBorders>
          <w:bottom w:val="single" w:sz="4" w:space="0" w:color="auto"/>
        </w:tcBorders>
      </w:tcPr>
    </w:tblStylePr>
  </w:style>
  <w:style w:type="paragraph" w:customStyle="1" w:styleId="punkt">
    <w:name w:val="punkt"/>
    <w:basedOn w:val="Normalny"/>
    <w:rsid w:val="006E7680"/>
    <w:pPr>
      <w:numPr>
        <w:numId w:val="4"/>
      </w:numPr>
      <w:spacing w:after="0" w:line="360" w:lineRule="auto"/>
    </w:pPr>
    <w:rPr>
      <w:rFonts w:ascii="Times New Roman" w:hAnsi="Times New Roman"/>
      <w:sz w:val="24"/>
      <w:lang w:eastAsia="pl-PL"/>
    </w:rPr>
  </w:style>
  <w:style w:type="paragraph" w:styleId="Mapadokumentu">
    <w:name w:val="Document Map"/>
    <w:basedOn w:val="Normalny"/>
    <w:link w:val="MapadokumentuZnak"/>
    <w:unhideWhenUsed/>
    <w:rsid w:val="006E7680"/>
    <w:pPr>
      <w:spacing w:after="0"/>
    </w:pPr>
    <w:rPr>
      <w:rFonts w:ascii="Tahoma" w:eastAsiaTheme="minorHAnsi" w:hAnsi="Tahoma" w:cs="Tahoma"/>
      <w:sz w:val="16"/>
      <w:szCs w:val="16"/>
    </w:rPr>
  </w:style>
  <w:style w:type="character" w:customStyle="1" w:styleId="MapadokumentuZnak">
    <w:name w:val="Mapa dokumentu Znak"/>
    <w:basedOn w:val="Domylnaczcionkaakapitu"/>
    <w:link w:val="Mapadokumentu"/>
    <w:rsid w:val="006E7680"/>
    <w:rPr>
      <w:rFonts w:ascii="Tahoma" w:eastAsiaTheme="minorHAnsi" w:hAnsi="Tahoma" w:cs="Tahoma"/>
      <w:sz w:val="16"/>
      <w:szCs w:val="16"/>
      <w:lang w:eastAsia="en-US"/>
    </w:rPr>
  </w:style>
  <w:style w:type="character" w:customStyle="1" w:styleId="ndesc">
    <w:name w:val="ndesc"/>
    <w:basedOn w:val="Domylnaczcionkaakapitu"/>
    <w:rsid w:val="00406838"/>
  </w:style>
  <w:style w:type="paragraph" w:customStyle="1" w:styleId="Body">
    <w:name w:val="Body"/>
    <w:basedOn w:val="Normalny"/>
    <w:rsid w:val="00CB5927"/>
    <w:pPr>
      <w:overflowPunct w:val="0"/>
      <w:autoSpaceDE w:val="0"/>
      <w:autoSpaceDN w:val="0"/>
      <w:adjustRightInd w:val="0"/>
      <w:spacing w:after="200" w:line="260" w:lineRule="atLeast"/>
      <w:textAlignment w:val="baseline"/>
    </w:pPr>
    <w:rPr>
      <w:rFonts w:ascii="EYInterstate Light" w:hAnsi="EYInterstate Light"/>
      <w:sz w:val="22"/>
      <w:szCs w:val="20"/>
      <w:lang w:val="en-US"/>
    </w:rPr>
  </w:style>
  <w:style w:type="paragraph" w:styleId="Tekstpodstawowyzwciciem2">
    <w:name w:val="Body Text First Indent 2"/>
    <w:basedOn w:val="Tekstpodstawowywcity"/>
    <w:link w:val="Tekstpodstawowyzwciciem2Znak"/>
    <w:rsid w:val="00C4295D"/>
    <w:pPr>
      <w:ind w:left="360" w:firstLine="360"/>
    </w:pPr>
  </w:style>
  <w:style w:type="character" w:customStyle="1" w:styleId="Tekstpodstawowyzwciciem2Znak">
    <w:name w:val="Tekst podstawowy z wcięciem 2 Znak"/>
    <w:basedOn w:val="TekstpodstawowywcityZnak"/>
    <w:link w:val="Tekstpodstawowyzwciciem2"/>
    <w:rsid w:val="00C4295D"/>
    <w:rPr>
      <w:rFonts w:ascii="Arial" w:hAnsi="Arial"/>
      <w:sz w:val="18"/>
      <w:szCs w:val="24"/>
      <w:lang w:eastAsia="en-US"/>
    </w:rPr>
  </w:style>
  <w:style w:type="paragraph" w:customStyle="1" w:styleId="Wykres">
    <w:name w:val="Wykres"/>
    <w:basedOn w:val="Normalny"/>
    <w:next w:val="Source"/>
    <w:rsid w:val="004068FE"/>
    <w:pPr>
      <w:spacing w:before="60" w:after="60"/>
      <w:jc w:val="center"/>
    </w:pPr>
    <w:rPr>
      <w:sz w:val="20"/>
      <w:szCs w:val="20"/>
    </w:rPr>
  </w:style>
  <w:style w:type="paragraph" w:customStyle="1" w:styleId="Source">
    <w:name w:val="Source"/>
    <w:basedOn w:val="Normalny"/>
    <w:next w:val="Normal1"/>
    <w:link w:val="SourceChar"/>
    <w:qFormat/>
    <w:rsid w:val="004068FE"/>
    <w:pPr>
      <w:spacing w:before="40" w:after="240"/>
    </w:pPr>
    <w:rPr>
      <w:i/>
      <w:sz w:val="16"/>
      <w:szCs w:val="16"/>
    </w:rPr>
  </w:style>
  <w:style w:type="character" w:customStyle="1" w:styleId="SourceChar">
    <w:name w:val="Source Char"/>
    <w:basedOn w:val="LegendaZnak1"/>
    <w:link w:val="Source"/>
    <w:rsid w:val="004068FE"/>
    <w:rPr>
      <w:rFonts w:ascii="Arial" w:hAnsi="Arial"/>
      <w:b w:val="0"/>
      <w:bCs w:val="0"/>
      <w:i/>
      <w:sz w:val="16"/>
      <w:szCs w:val="16"/>
      <w:lang w:eastAsia="en-US"/>
    </w:rPr>
  </w:style>
  <w:style w:type="paragraph" w:customStyle="1" w:styleId="EYCoverTitle">
    <w:name w:val="EY Cover Title"/>
    <w:rsid w:val="00701E73"/>
    <w:pPr>
      <w:tabs>
        <w:tab w:val="right" w:pos="6750"/>
      </w:tabs>
      <w:spacing w:line="560" w:lineRule="exact"/>
    </w:pPr>
    <w:rPr>
      <w:rFonts w:ascii="EYInterstate Regular" w:hAnsi="EYInterstate Regular"/>
      <w:color w:val="808080"/>
      <w:sz w:val="48"/>
      <w:szCs w:val="48"/>
      <w:lang w:val="en-US" w:eastAsia="en-US"/>
    </w:rPr>
  </w:style>
  <w:style w:type="paragraph" w:customStyle="1" w:styleId="EYCoverSubTitle">
    <w:name w:val="EY Cover SubTitle"/>
    <w:basedOn w:val="EYCoverTitle"/>
    <w:autoRedefine/>
    <w:rsid w:val="00512018"/>
    <w:pPr>
      <w:tabs>
        <w:tab w:val="clear" w:pos="6750"/>
      </w:tabs>
      <w:spacing w:line="420" w:lineRule="exact"/>
    </w:pPr>
    <w:rPr>
      <w:rFonts w:ascii="Arial" w:hAnsi="Arial" w:cs="Arial"/>
      <w:color w:val="auto"/>
      <w:sz w:val="24"/>
      <w:szCs w:val="24"/>
    </w:rPr>
  </w:style>
  <w:style w:type="paragraph" w:customStyle="1" w:styleId="Tabela-naglowek">
    <w:name w:val="Tabela - naglowek"/>
    <w:basedOn w:val="Legenda"/>
    <w:rsid w:val="00E07079"/>
    <w:pPr>
      <w:keepNext w:val="0"/>
      <w:spacing w:before="60" w:after="60"/>
      <w:jc w:val="left"/>
    </w:pPr>
    <w:rPr>
      <w:color w:val="000000" w:themeColor="text1"/>
      <w:sz w:val="18"/>
    </w:rPr>
  </w:style>
  <w:style w:type="paragraph" w:customStyle="1" w:styleId="Zrodlo">
    <w:name w:val="Zrodlo"/>
    <w:basedOn w:val="Normalny"/>
    <w:qFormat/>
    <w:rsid w:val="00E66907"/>
    <w:pPr>
      <w:spacing w:before="60" w:after="240"/>
      <w:jc w:val="both"/>
    </w:pPr>
    <w:rPr>
      <w:bCs/>
      <w:i/>
      <w:noProof/>
      <w:szCs w:val="18"/>
      <w:lang w:eastAsia="pl-PL"/>
    </w:rPr>
  </w:style>
  <w:style w:type="paragraph" w:customStyle="1" w:styleId="EYNumber">
    <w:name w:val="EY Number"/>
    <w:basedOn w:val="Normalny"/>
    <w:qFormat/>
    <w:rsid w:val="000A2A6A"/>
    <w:pPr>
      <w:numPr>
        <w:numId w:val="5"/>
      </w:numPr>
      <w:spacing w:before="120"/>
    </w:pPr>
    <w:rPr>
      <w:rFonts w:ascii="EYInterstate Light" w:hAnsi="EYInterstate Light"/>
      <w:kern w:val="12"/>
      <w:sz w:val="20"/>
    </w:rPr>
  </w:style>
  <w:style w:type="paragraph" w:customStyle="1" w:styleId="EYLetter">
    <w:name w:val="EY Letter"/>
    <w:basedOn w:val="EYNumber"/>
    <w:rsid w:val="000A2A6A"/>
    <w:pPr>
      <w:numPr>
        <w:ilvl w:val="1"/>
      </w:numPr>
    </w:pPr>
  </w:style>
  <w:style w:type="paragraph" w:customStyle="1" w:styleId="EYRoman">
    <w:name w:val="EY Roman"/>
    <w:basedOn w:val="EYNumber"/>
    <w:rsid w:val="000A2A6A"/>
    <w:pPr>
      <w:numPr>
        <w:numId w:val="0"/>
      </w:numPr>
      <w:tabs>
        <w:tab w:val="num" w:pos="1276"/>
      </w:tabs>
      <w:ind w:left="1276" w:hanging="425"/>
    </w:pPr>
  </w:style>
  <w:style w:type="paragraph" w:customStyle="1" w:styleId="ReferenceLine">
    <w:name w:val="Reference Line"/>
    <w:basedOn w:val="Tekstpodstawowy"/>
    <w:rsid w:val="008B7D03"/>
  </w:style>
  <w:style w:type="paragraph" w:customStyle="1" w:styleId="EYTableText">
    <w:name w:val="EY Table Text"/>
    <w:basedOn w:val="Normalny"/>
    <w:qFormat/>
    <w:rsid w:val="0059151F"/>
    <w:pPr>
      <w:spacing w:before="20" w:after="20" w:line="280" w:lineRule="atLeast"/>
    </w:pPr>
    <w:rPr>
      <w:rFonts w:ascii="EYInterstate Light" w:hAnsi="EYInterstate Light"/>
      <w:sz w:val="16"/>
    </w:rPr>
  </w:style>
  <w:style w:type="paragraph" w:customStyle="1" w:styleId="EYTableHeadingWhite">
    <w:name w:val="EY Table Heading (White)"/>
    <w:basedOn w:val="EYTableText"/>
    <w:rsid w:val="0059151F"/>
    <w:pPr>
      <w:keepNext/>
      <w:jc w:val="center"/>
    </w:pPr>
    <w:rPr>
      <w:color w:val="FFFFFF" w:themeColor="background1"/>
      <w:szCs w:val="16"/>
      <w:lang w:eastAsia="pl-PL"/>
    </w:rPr>
  </w:style>
  <w:style w:type="paragraph" w:customStyle="1" w:styleId="Teksttabeli">
    <w:name w:val="Tekst tabeli"/>
    <w:basedOn w:val="Normalny"/>
    <w:rsid w:val="004A4B50"/>
    <w:pPr>
      <w:tabs>
        <w:tab w:val="left" w:pos="170"/>
        <w:tab w:val="left" w:pos="284"/>
        <w:tab w:val="left" w:pos="567"/>
      </w:tabs>
      <w:spacing w:after="0"/>
      <w:jc w:val="both"/>
    </w:pPr>
    <w:rPr>
      <w:rFonts w:cs="Arial"/>
      <w:sz w:val="16"/>
      <w:szCs w:val="18"/>
      <w:lang w:eastAsia="pl-PL"/>
    </w:rPr>
  </w:style>
  <w:style w:type="paragraph" w:customStyle="1" w:styleId="Tabela-naglowekdoprawej">
    <w:name w:val="Tabela - naglowek do prawej"/>
    <w:basedOn w:val="Tabela-naglowek"/>
    <w:rsid w:val="006D56D0"/>
    <w:pPr>
      <w:jc w:val="right"/>
    </w:pPr>
    <w:rPr>
      <w:bCs w:val="0"/>
      <w:szCs w:val="18"/>
    </w:rPr>
  </w:style>
  <w:style w:type="paragraph" w:customStyle="1" w:styleId="Tabela-liczby">
    <w:name w:val="Tabela - liczby"/>
    <w:basedOn w:val="Normalny"/>
    <w:rsid w:val="006D56D0"/>
    <w:pPr>
      <w:spacing w:before="40" w:after="40"/>
      <w:jc w:val="right"/>
    </w:pPr>
    <w:rPr>
      <w:color w:val="000000"/>
      <w:szCs w:val="20"/>
    </w:rPr>
  </w:style>
  <w:style w:type="paragraph" w:customStyle="1" w:styleId="Tabela-1kol">
    <w:name w:val="Tabela - 1 kol"/>
    <w:basedOn w:val="Normalny"/>
    <w:rsid w:val="006D56D0"/>
    <w:pPr>
      <w:spacing w:before="40" w:after="40"/>
    </w:pPr>
    <w:rPr>
      <w:rFonts w:cs="Arial"/>
      <w:color w:val="000000"/>
      <w:szCs w:val="18"/>
    </w:rPr>
  </w:style>
  <w:style w:type="paragraph" w:customStyle="1" w:styleId="Tabela-bodymain">
    <w:name w:val="Tabela - body main"/>
    <w:basedOn w:val="Normalny"/>
    <w:rsid w:val="006D56D0"/>
    <w:pPr>
      <w:spacing w:before="60" w:after="60"/>
      <w:jc w:val="both"/>
    </w:pPr>
    <w:rPr>
      <w:szCs w:val="20"/>
    </w:rPr>
  </w:style>
  <w:style w:type="paragraph" w:customStyle="1" w:styleId="Tabela-1kolwciecie2">
    <w:name w:val="Tabela - 1 kol wciecie 2"/>
    <w:basedOn w:val="Tabela-1kol"/>
    <w:rsid w:val="006D56D0"/>
    <w:pPr>
      <w:ind w:left="567"/>
    </w:pPr>
  </w:style>
  <w:style w:type="paragraph" w:customStyle="1" w:styleId="Tabela-1kolwciecie1">
    <w:name w:val="Tabela - 1 kol wciecie 1"/>
    <w:basedOn w:val="Tabela-1kol"/>
    <w:next w:val="Tabela-bodymain"/>
    <w:rsid w:val="006D56D0"/>
    <w:pPr>
      <w:ind w:left="284"/>
    </w:pPr>
  </w:style>
  <w:style w:type="paragraph" w:customStyle="1" w:styleId="Wniosek-bullet1">
    <w:name w:val="Wniosek - bullet 1"/>
    <w:basedOn w:val="Bullet1"/>
    <w:link w:val="Wniosek-bullet1Char"/>
    <w:rsid w:val="006D56D0"/>
    <w:pPr>
      <w:pBdr>
        <w:bottom w:val="single" w:sz="4" w:space="3" w:color="7F7F7F" w:themeColor="text1" w:themeTint="80"/>
      </w:pBdr>
      <w:tabs>
        <w:tab w:val="clear" w:pos="360"/>
      </w:tabs>
      <w:ind w:left="540"/>
      <w:jc w:val="both"/>
    </w:pPr>
  </w:style>
  <w:style w:type="character" w:customStyle="1" w:styleId="Wniosek-bullet1Char">
    <w:name w:val="Wniosek - bullet 1 Char"/>
    <w:basedOn w:val="Bullet1Char"/>
    <w:link w:val="Wniosek-bullet1"/>
    <w:rsid w:val="006D56D0"/>
    <w:rPr>
      <w:rFonts w:ascii="Arial" w:hAnsi="Arial"/>
      <w:sz w:val="18"/>
      <w:szCs w:val="24"/>
      <w:lang w:val="en-US" w:eastAsia="en-US"/>
    </w:rPr>
  </w:style>
  <w:style w:type="paragraph" w:styleId="Listapunktowana">
    <w:name w:val="List Bullet"/>
    <w:basedOn w:val="Normalny"/>
    <w:rsid w:val="006D56D0"/>
    <w:pPr>
      <w:numPr>
        <w:numId w:val="6"/>
      </w:numPr>
      <w:spacing w:before="120" w:after="0"/>
      <w:jc w:val="both"/>
    </w:pPr>
    <w:rPr>
      <w:sz w:val="20"/>
    </w:rPr>
  </w:style>
  <w:style w:type="paragraph" w:styleId="Podtytu">
    <w:name w:val="Subtitle"/>
    <w:basedOn w:val="Normalny"/>
    <w:next w:val="Normalny"/>
    <w:link w:val="PodtytuZnak"/>
    <w:uiPriority w:val="99"/>
    <w:rsid w:val="006D56D0"/>
    <w:pPr>
      <w:numPr>
        <w:ilvl w:val="1"/>
      </w:numPr>
      <w:spacing w:after="0" w:line="360" w:lineRule="auto"/>
      <w:jc w:val="both"/>
    </w:pPr>
    <w:rPr>
      <w:rFonts w:ascii="Cambria" w:hAnsi="Cambria"/>
      <w:i/>
      <w:iCs/>
      <w:color w:val="4F81BD"/>
      <w:spacing w:val="15"/>
      <w:sz w:val="24"/>
    </w:rPr>
  </w:style>
  <w:style w:type="character" w:customStyle="1" w:styleId="PodtytuZnak">
    <w:name w:val="Podtytuł Znak"/>
    <w:basedOn w:val="Domylnaczcionkaakapitu"/>
    <w:link w:val="Podtytu"/>
    <w:uiPriority w:val="99"/>
    <w:rsid w:val="006D56D0"/>
    <w:rPr>
      <w:rFonts w:ascii="Cambria" w:hAnsi="Cambria"/>
      <w:i/>
      <w:iCs/>
      <w:color w:val="4F81BD"/>
      <w:spacing w:val="15"/>
      <w:sz w:val="24"/>
      <w:szCs w:val="24"/>
      <w:lang w:eastAsia="en-US"/>
    </w:rPr>
  </w:style>
  <w:style w:type="paragraph" w:customStyle="1" w:styleId="body-bullet">
    <w:name w:val="body-bullet"/>
    <w:basedOn w:val="Normalny"/>
    <w:link w:val="body-bulletChar"/>
    <w:rsid w:val="006D56D0"/>
    <w:pPr>
      <w:numPr>
        <w:numId w:val="7"/>
      </w:numPr>
      <w:overflowPunct w:val="0"/>
      <w:autoSpaceDE w:val="0"/>
      <w:autoSpaceDN w:val="0"/>
      <w:adjustRightInd w:val="0"/>
      <w:spacing w:line="260" w:lineRule="atLeast"/>
      <w:textAlignment w:val="baseline"/>
    </w:pPr>
    <w:rPr>
      <w:rFonts w:ascii="EYInterstate Light" w:hAnsi="EYInterstate Light"/>
      <w:sz w:val="22"/>
      <w:szCs w:val="20"/>
      <w:lang w:val="en-US"/>
    </w:rPr>
  </w:style>
  <w:style w:type="character" w:customStyle="1" w:styleId="body-bulletChar">
    <w:name w:val="body-bullet Char"/>
    <w:basedOn w:val="Domylnaczcionkaakapitu"/>
    <w:link w:val="body-bullet"/>
    <w:rsid w:val="006D56D0"/>
    <w:rPr>
      <w:rFonts w:ascii="EYInterstate Light" w:hAnsi="EYInterstate Light"/>
      <w:sz w:val="22"/>
      <w:lang w:val="en-US" w:eastAsia="en-US"/>
    </w:rPr>
  </w:style>
  <w:style w:type="paragraph" w:customStyle="1" w:styleId="USTustnpkodeksu">
    <w:name w:val="UST(§) – ust. (§ np. kodeksu)"/>
    <w:basedOn w:val="Normalny"/>
    <w:link w:val="USTustnpkodeksuZnak"/>
    <w:rsid w:val="006D56D0"/>
    <w:pPr>
      <w:suppressAutoHyphens/>
      <w:autoSpaceDE w:val="0"/>
      <w:autoSpaceDN w:val="0"/>
      <w:adjustRightInd w:val="0"/>
      <w:spacing w:after="0" w:line="360" w:lineRule="auto"/>
      <w:ind w:firstLine="510"/>
      <w:jc w:val="both"/>
    </w:pPr>
    <w:rPr>
      <w:rFonts w:ascii="Times" w:hAnsi="Times" w:cs="Arial"/>
      <w:bCs/>
      <w:sz w:val="24"/>
      <w:szCs w:val="20"/>
      <w:lang w:eastAsia="pl-PL"/>
    </w:rPr>
  </w:style>
  <w:style w:type="character" w:customStyle="1" w:styleId="USTustnpkodeksuZnak">
    <w:name w:val="UST(§) – ust. (§ np. kodeksu) Znak"/>
    <w:basedOn w:val="Domylnaczcionkaakapitu"/>
    <w:link w:val="USTustnpkodeksu"/>
    <w:locked/>
    <w:rsid w:val="006D56D0"/>
    <w:rPr>
      <w:rFonts w:ascii="Times" w:hAnsi="Times" w:cs="Arial"/>
      <w:bCs/>
      <w:sz w:val="24"/>
    </w:rPr>
  </w:style>
  <w:style w:type="paragraph" w:customStyle="1" w:styleId="PKTpunkt">
    <w:name w:val="PKT – punkt"/>
    <w:basedOn w:val="USTustnpkodeksu"/>
    <w:link w:val="PKTpunktZnak"/>
    <w:uiPriority w:val="99"/>
    <w:rsid w:val="004D00FA"/>
    <w:pPr>
      <w:ind w:left="510" w:hanging="510"/>
    </w:pPr>
    <w:rPr>
      <w:rFonts w:cs="Times New Roman"/>
      <w:sz w:val="20"/>
      <w:lang w:val="x-none" w:eastAsia="x-none"/>
    </w:rPr>
  </w:style>
  <w:style w:type="character" w:customStyle="1" w:styleId="PKTpunktZnak">
    <w:name w:val="PKT – punkt Znak"/>
    <w:link w:val="PKTpunkt"/>
    <w:uiPriority w:val="99"/>
    <w:locked/>
    <w:rsid w:val="004D00FA"/>
    <w:rPr>
      <w:rFonts w:ascii="Times" w:hAnsi="Times"/>
      <w:bCs/>
      <w:lang w:val="x-none" w:eastAsia="x-none"/>
    </w:rPr>
  </w:style>
  <w:style w:type="paragraph" w:customStyle="1" w:styleId="CM1">
    <w:name w:val="CM1"/>
    <w:basedOn w:val="Default"/>
    <w:next w:val="Default"/>
    <w:uiPriority w:val="99"/>
    <w:rsid w:val="007B45C7"/>
    <w:rPr>
      <w:rFonts w:ascii="EUAlbertina" w:eastAsia="Times New Roman" w:hAnsi="EUAlbertina"/>
      <w:color w:val="auto"/>
      <w:lang w:eastAsia="pl-PL"/>
    </w:rPr>
  </w:style>
  <w:style w:type="paragraph" w:customStyle="1" w:styleId="CM3">
    <w:name w:val="CM3"/>
    <w:basedOn w:val="Default"/>
    <w:next w:val="Default"/>
    <w:uiPriority w:val="99"/>
    <w:rsid w:val="007B45C7"/>
    <w:rPr>
      <w:rFonts w:ascii="EUAlbertina" w:eastAsia="Times New Roman" w:hAnsi="EUAlbertina"/>
      <w:color w:val="auto"/>
      <w:lang w:eastAsia="pl-PL"/>
    </w:rPr>
  </w:style>
  <w:style w:type="paragraph" w:styleId="Lista">
    <w:name w:val="List"/>
    <w:basedOn w:val="Normalny"/>
    <w:rsid w:val="00B94BA4"/>
    <w:pPr>
      <w:ind w:left="283" w:hanging="283"/>
      <w:contextualSpacing/>
    </w:pPr>
  </w:style>
  <w:style w:type="paragraph" w:customStyle="1" w:styleId="CMSHeadL1">
    <w:name w:val="CMS Head L1"/>
    <w:basedOn w:val="Normalny"/>
    <w:next w:val="CMSHeadL2"/>
    <w:rsid w:val="00BA15AB"/>
    <w:pPr>
      <w:pageBreakBefore/>
      <w:numPr>
        <w:numId w:val="8"/>
      </w:numPr>
      <w:spacing w:before="240" w:after="240"/>
      <w:jc w:val="center"/>
      <w:outlineLvl w:val="0"/>
    </w:pPr>
    <w:rPr>
      <w:rFonts w:ascii="Times New Roman" w:hAnsi="Times New Roman"/>
      <w:b/>
      <w:sz w:val="28"/>
      <w:lang w:val="en-GB"/>
    </w:rPr>
  </w:style>
  <w:style w:type="paragraph" w:customStyle="1" w:styleId="CMSHeadL2">
    <w:name w:val="CMS Head L2"/>
    <w:basedOn w:val="Normalny"/>
    <w:next w:val="CMSHeadL3"/>
    <w:rsid w:val="00BA15AB"/>
    <w:pPr>
      <w:keepNext/>
      <w:keepLines/>
      <w:numPr>
        <w:ilvl w:val="1"/>
        <w:numId w:val="8"/>
      </w:numPr>
      <w:spacing w:before="240" w:after="240"/>
      <w:outlineLvl w:val="1"/>
    </w:pPr>
    <w:rPr>
      <w:rFonts w:ascii="Times New Roman" w:hAnsi="Times New Roman"/>
      <w:b/>
      <w:sz w:val="22"/>
      <w:lang w:val="en-GB"/>
    </w:rPr>
  </w:style>
  <w:style w:type="paragraph" w:customStyle="1" w:styleId="CMSHeadL3">
    <w:name w:val="CMS Head L3"/>
    <w:basedOn w:val="Normalny"/>
    <w:rsid w:val="00BA15AB"/>
    <w:pPr>
      <w:numPr>
        <w:ilvl w:val="2"/>
        <w:numId w:val="8"/>
      </w:numPr>
      <w:spacing w:after="240"/>
      <w:outlineLvl w:val="2"/>
    </w:pPr>
    <w:rPr>
      <w:rFonts w:ascii="Times New Roman" w:hAnsi="Times New Roman"/>
      <w:sz w:val="22"/>
      <w:lang w:val="en-GB"/>
    </w:rPr>
  </w:style>
  <w:style w:type="paragraph" w:customStyle="1" w:styleId="CMSHeadL4">
    <w:name w:val="CMS Head L4"/>
    <w:basedOn w:val="Normalny"/>
    <w:rsid w:val="00BA15AB"/>
    <w:pPr>
      <w:numPr>
        <w:ilvl w:val="3"/>
        <w:numId w:val="8"/>
      </w:numPr>
      <w:spacing w:after="240"/>
      <w:outlineLvl w:val="3"/>
    </w:pPr>
    <w:rPr>
      <w:rFonts w:ascii="Times New Roman" w:hAnsi="Times New Roman"/>
      <w:sz w:val="22"/>
      <w:lang w:val="en-GB"/>
    </w:rPr>
  </w:style>
  <w:style w:type="paragraph" w:customStyle="1" w:styleId="CMSHeadL5">
    <w:name w:val="CMS Head L5"/>
    <w:basedOn w:val="Normalny"/>
    <w:rsid w:val="00BA15AB"/>
    <w:pPr>
      <w:numPr>
        <w:ilvl w:val="4"/>
        <w:numId w:val="8"/>
      </w:numPr>
      <w:spacing w:after="240"/>
      <w:outlineLvl w:val="4"/>
    </w:pPr>
    <w:rPr>
      <w:rFonts w:ascii="Times New Roman" w:hAnsi="Times New Roman"/>
      <w:sz w:val="22"/>
      <w:lang w:val="en-GB"/>
    </w:rPr>
  </w:style>
  <w:style w:type="paragraph" w:customStyle="1" w:styleId="CMSHeadL6">
    <w:name w:val="CMS Head L6"/>
    <w:basedOn w:val="Normalny"/>
    <w:rsid w:val="00BA15AB"/>
    <w:pPr>
      <w:numPr>
        <w:ilvl w:val="5"/>
        <w:numId w:val="8"/>
      </w:numPr>
      <w:spacing w:after="240"/>
      <w:outlineLvl w:val="5"/>
    </w:pPr>
    <w:rPr>
      <w:rFonts w:ascii="Times New Roman" w:hAnsi="Times New Roman"/>
      <w:sz w:val="22"/>
      <w:lang w:val="en-GB"/>
    </w:rPr>
  </w:style>
  <w:style w:type="paragraph" w:customStyle="1" w:styleId="CMSHeadL7">
    <w:name w:val="CMS Head L7"/>
    <w:basedOn w:val="Normalny"/>
    <w:rsid w:val="00BA15AB"/>
    <w:pPr>
      <w:numPr>
        <w:ilvl w:val="6"/>
        <w:numId w:val="8"/>
      </w:numPr>
      <w:spacing w:after="240"/>
      <w:outlineLvl w:val="6"/>
    </w:pPr>
    <w:rPr>
      <w:rFonts w:ascii="Times New Roman" w:hAnsi="Times New Roman"/>
      <w:sz w:val="22"/>
      <w:lang w:val="en-GB"/>
    </w:rPr>
  </w:style>
  <w:style w:type="paragraph" w:customStyle="1" w:styleId="CMSHeadL8">
    <w:name w:val="CMS Head L8"/>
    <w:basedOn w:val="Normalny"/>
    <w:rsid w:val="00BA15AB"/>
    <w:pPr>
      <w:numPr>
        <w:ilvl w:val="7"/>
        <w:numId w:val="8"/>
      </w:numPr>
      <w:spacing w:after="240"/>
      <w:outlineLvl w:val="7"/>
    </w:pPr>
    <w:rPr>
      <w:rFonts w:ascii="Times New Roman" w:hAnsi="Times New Roman"/>
      <w:sz w:val="22"/>
      <w:lang w:val="en-GB"/>
    </w:rPr>
  </w:style>
  <w:style w:type="paragraph" w:customStyle="1" w:styleId="CMSHeadL9">
    <w:name w:val="CMS Head L9"/>
    <w:basedOn w:val="Normalny"/>
    <w:rsid w:val="00BA15AB"/>
    <w:pPr>
      <w:numPr>
        <w:ilvl w:val="8"/>
        <w:numId w:val="8"/>
      </w:numPr>
      <w:spacing w:after="240"/>
      <w:outlineLvl w:val="8"/>
    </w:pPr>
    <w:rPr>
      <w:rFonts w:ascii="Times New Roman" w:hAnsi="Times New Roman"/>
      <w:sz w:val="22"/>
      <w:lang w:val="en-GB"/>
    </w:rPr>
  </w:style>
  <w:style w:type="paragraph" w:customStyle="1" w:styleId="EYBoldsubjectheading">
    <w:name w:val="EY Bold subject heading"/>
    <w:basedOn w:val="Normalny"/>
    <w:rsid w:val="003F2C4F"/>
    <w:pPr>
      <w:suppressAutoHyphens/>
      <w:spacing w:before="540" w:after="0" w:line="260" w:lineRule="atLeast"/>
    </w:pPr>
    <w:rPr>
      <w:b/>
      <w:kern w:val="12"/>
      <w:sz w:val="26"/>
      <w:lang w:val="en-US"/>
    </w:rPr>
  </w:style>
  <w:style w:type="character" w:customStyle="1" w:styleId="h11">
    <w:name w:val="h11"/>
    <w:basedOn w:val="Domylnaczcionkaakapitu"/>
    <w:rsid w:val="000568D3"/>
    <w:rPr>
      <w:rFonts w:ascii="Verdana" w:hAnsi="Verdana" w:hint="default"/>
      <w:b/>
      <w:bCs/>
      <w:i w:val="0"/>
      <w:iCs w:val="0"/>
      <w:sz w:val="23"/>
      <w:szCs w:val="23"/>
    </w:rPr>
  </w:style>
  <w:style w:type="paragraph" w:styleId="Lista2">
    <w:name w:val="List 2"/>
    <w:basedOn w:val="Normalny"/>
    <w:rsid w:val="00CD543A"/>
    <w:pPr>
      <w:ind w:left="566" w:hanging="283"/>
      <w:contextualSpacing/>
    </w:pPr>
  </w:style>
  <w:style w:type="character" w:customStyle="1" w:styleId="AkapitzlistZnak">
    <w:name w:val="Akapit z listą Znak"/>
    <w:link w:val="Akapitzlist"/>
    <w:uiPriority w:val="34"/>
    <w:rsid w:val="00E45EBD"/>
    <w:rPr>
      <w:rFonts w:asciiTheme="minorHAnsi" w:eastAsiaTheme="minorHAnsi" w:hAnsiTheme="minorHAnsi" w:cstheme="minorBidi"/>
      <w:sz w:val="22"/>
      <w:szCs w:val="22"/>
      <w:lang w:eastAsia="en-US"/>
    </w:rPr>
  </w:style>
  <w:style w:type="paragraph" w:customStyle="1" w:styleId="Point1">
    <w:name w:val="Point 1"/>
    <w:basedOn w:val="Normalny"/>
    <w:rsid w:val="00DF6DD9"/>
    <w:pPr>
      <w:spacing w:before="120"/>
      <w:ind w:left="1417" w:hanging="567"/>
      <w:jc w:val="both"/>
    </w:pPr>
    <w:rPr>
      <w:rFonts w:ascii="Times New Roman" w:hAnsi="Times New Roman"/>
      <w:sz w:val="24"/>
    </w:rPr>
  </w:style>
  <w:style w:type="character" w:customStyle="1" w:styleId="BulletChar">
    <w:name w:val="Bullet Char"/>
    <w:basedOn w:val="Domylnaczcionkaakapitu"/>
    <w:link w:val="Bullet"/>
    <w:rsid w:val="00EF327F"/>
    <w:rPr>
      <w:rFonts w:ascii="Arial" w:hAnsi="Arial"/>
      <w:szCs w:val="24"/>
      <w:lang w:eastAsia="en-US"/>
    </w:rPr>
  </w:style>
  <w:style w:type="paragraph" w:customStyle="1" w:styleId="EYNormal">
    <w:name w:val="EY Normal"/>
    <w:link w:val="EYNormalChar"/>
    <w:rsid w:val="00C8504C"/>
    <w:rPr>
      <w:rFonts w:ascii="EYInterstate Light" w:hAnsi="EYInterstate Light"/>
      <w:kern w:val="12"/>
      <w:szCs w:val="24"/>
      <w:lang w:val="en-US" w:eastAsia="en-US"/>
    </w:rPr>
  </w:style>
  <w:style w:type="character" w:customStyle="1" w:styleId="EYNormalChar">
    <w:name w:val="EY Normal Char"/>
    <w:basedOn w:val="Domylnaczcionkaakapitu"/>
    <w:link w:val="EYNormal"/>
    <w:rsid w:val="00C8504C"/>
    <w:rPr>
      <w:rFonts w:ascii="EYInterstate Light" w:hAnsi="EYInterstate Light"/>
      <w:kern w:val="12"/>
      <w:szCs w:val="24"/>
      <w:lang w:val="en-US" w:eastAsia="en-US"/>
    </w:rPr>
  </w:style>
  <w:style w:type="paragraph" w:customStyle="1" w:styleId="Bullety2">
    <w:name w:val="Bullety 2"/>
    <w:basedOn w:val="Bullety"/>
    <w:qFormat/>
    <w:rsid w:val="0005793B"/>
    <w:pPr>
      <w:ind w:left="851" w:hanging="425"/>
    </w:pPr>
  </w:style>
  <w:style w:type="paragraph" w:customStyle="1" w:styleId="Pa3">
    <w:name w:val="Pa3"/>
    <w:basedOn w:val="Default"/>
    <w:next w:val="Default"/>
    <w:uiPriority w:val="99"/>
    <w:rsid w:val="00164560"/>
    <w:pPr>
      <w:spacing w:line="201" w:lineRule="atLeast"/>
    </w:pPr>
    <w:rPr>
      <w:color w:val="auto"/>
    </w:rPr>
  </w:style>
  <w:style w:type="paragraph" w:customStyle="1" w:styleId="CM4">
    <w:name w:val="CM4"/>
    <w:basedOn w:val="Default"/>
    <w:next w:val="Default"/>
    <w:uiPriority w:val="99"/>
    <w:rsid w:val="00164560"/>
    <w:rPr>
      <w:rFonts w:ascii="EUAlbertina" w:hAnsi="EUAlbertina" w:cstheme="minorBidi"/>
      <w:color w:val="auto"/>
    </w:rPr>
  </w:style>
  <w:style w:type="character" w:customStyle="1" w:styleId="FontStyle16">
    <w:name w:val="Font Style16"/>
    <w:rsid w:val="00164560"/>
    <w:rPr>
      <w:rFonts w:ascii="Times New Roman" w:hAnsi="Times New Roman" w:cs="Times New Roman"/>
      <w:sz w:val="22"/>
      <w:szCs w:val="22"/>
    </w:rPr>
  </w:style>
  <w:style w:type="paragraph" w:customStyle="1" w:styleId="Tekst-akapit">
    <w:name w:val="Tekst-akapit"/>
    <w:basedOn w:val="Normalny"/>
    <w:link w:val="Tekst-akapitChar"/>
    <w:rsid w:val="00164560"/>
    <w:pPr>
      <w:spacing w:before="160" w:after="160"/>
      <w:jc w:val="both"/>
    </w:pPr>
    <w:rPr>
      <w:rFonts w:ascii="EYInterstate Light" w:hAnsi="EYInterstate Light"/>
      <w:kern w:val="12"/>
      <w:sz w:val="20"/>
    </w:rPr>
  </w:style>
  <w:style w:type="character" w:customStyle="1" w:styleId="Tekst-akapitChar">
    <w:name w:val="Tekst-akapit Char"/>
    <w:basedOn w:val="Domylnaczcionkaakapitu"/>
    <w:link w:val="Tekst-akapit"/>
    <w:rsid w:val="00164560"/>
    <w:rPr>
      <w:rFonts w:ascii="EYInterstate Light" w:hAnsi="EYInterstate Light"/>
      <w:kern w:val="12"/>
      <w:szCs w:val="24"/>
      <w:lang w:eastAsia="en-US"/>
    </w:rPr>
  </w:style>
  <w:style w:type="paragraph" w:customStyle="1" w:styleId="BulletEY">
    <w:name w:val="Bullet_EY"/>
    <w:basedOn w:val="Normalny"/>
    <w:link w:val="BulletEYChar"/>
    <w:rsid w:val="00164560"/>
    <w:pPr>
      <w:numPr>
        <w:numId w:val="10"/>
      </w:numPr>
      <w:spacing w:before="160" w:after="160"/>
      <w:jc w:val="both"/>
    </w:pPr>
    <w:rPr>
      <w:rFonts w:ascii="EYInterstate Light" w:hAnsi="EYInterstate Light"/>
      <w:kern w:val="12"/>
      <w:sz w:val="20"/>
      <w:lang w:val="en-US"/>
    </w:rPr>
  </w:style>
  <w:style w:type="character" w:customStyle="1" w:styleId="BulletEYChar">
    <w:name w:val="Bullet_EY Char"/>
    <w:basedOn w:val="Domylnaczcionkaakapitu"/>
    <w:link w:val="BulletEY"/>
    <w:rsid w:val="00164560"/>
    <w:rPr>
      <w:rFonts w:ascii="EYInterstate Light" w:hAnsi="EYInterstate Light"/>
      <w:kern w:val="12"/>
      <w:szCs w:val="24"/>
      <w:lang w:val="en-US" w:eastAsia="en-US"/>
    </w:rPr>
  </w:style>
  <w:style w:type="paragraph" w:customStyle="1" w:styleId="EY-lista">
    <w:name w:val="EY-lista"/>
    <w:basedOn w:val="Normalny"/>
    <w:rsid w:val="00164560"/>
    <w:pPr>
      <w:numPr>
        <w:numId w:val="11"/>
      </w:numPr>
      <w:spacing w:after="200" w:line="276" w:lineRule="auto"/>
    </w:pPr>
    <w:rPr>
      <w:rFonts w:ascii="Calibri" w:eastAsia="Calibri" w:hAnsi="Calibri"/>
      <w:sz w:val="22"/>
      <w:szCs w:val="22"/>
    </w:rPr>
  </w:style>
  <w:style w:type="paragraph" w:styleId="Lista-kontynuacja5">
    <w:name w:val="List Continue 5"/>
    <w:basedOn w:val="Normalny"/>
    <w:rsid w:val="00164560"/>
    <w:pPr>
      <w:ind w:left="1415"/>
      <w:contextualSpacing/>
    </w:pPr>
  </w:style>
  <w:style w:type="character" w:customStyle="1" w:styleId="hps">
    <w:name w:val="hps"/>
    <w:basedOn w:val="Domylnaczcionkaakapitu"/>
    <w:rsid w:val="00164560"/>
  </w:style>
  <w:style w:type="paragraph" w:customStyle="1" w:styleId="5Normal">
    <w:name w:val="5 Normal"/>
    <w:basedOn w:val="Normalny"/>
    <w:link w:val="5NormalChar"/>
    <w:rsid w:val="00164560"/>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both"/>
    </w:pPr>
    <w:rPr>
      <w:rFonts w:ascii="Verdana" w:hAnsi="Verdana"/>
      <w:spacing w:val="-2"/>
      <w:sz w:val="20"/>
      <w:lang w:val="en-GB" w:eastAsia="en-GB"/>
    </w:rPr>
  </w:style>
  <w:style w:type="character" w:customStyle="1" w:styleId="5NormalChar">
    <w:name w:val="5 Normal Char"/>
    <w:link w:val="5Normal"/>
    <w:locked/>
    <w:rsid w:val="00164560"/>
    <w:rPr>
      <w:rFonts w:ascii="Verdana" w:hAnsi="Verdana"/>
      <w:spacing w:val="-2"/>
      <w:szCs w:val="24"/>
      <w:lang w:val="en-GB" w:eastAsia="en-GB"/>
    </w:rPr>
  </w:style>
  <w:style w:type="table" w:customStyle="1" w:styleId="PlainTable11">
    <w:name w:val="Plain Table 11"/>
    <w:basedOn w:val="Standardowy"/>
    <w:uiPriority w:val="41"/>
    <w:rsid w:val="004F3E1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GridLight1">
    <w:name w:val="Table Grid Light1"/>
    <w:basedOn w:val="Standardowy"/>
    <w:uiPriority w:val="40"/>
    <w:rsid w:val="004F3E13"/>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1">
    <w:name w:val="Table Grid1"/>
    <w:basedOn w:val="Standardowy"/>
    <w:next w:val="Tabela-Siatka"/>
    <w:uiPriority w:val="39"/>
    <w:rsid w:val="00815DE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Standardowy"/>
    <w:next w:val="Tabela-Siatka"/>
    <w:uiPriority w:val="39"/>
    <w:rsid w:val="00AC7EC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Standardowy"/>
    <w:next w:val="Tabela-Siatka"/>
    <w:uiPriority w:val="39"/>
    <w:rsid w:val="00AC7EC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Bezlisty"/>
    <w:uiPriority w:val="99"/>
    <w:semiHidden/>
    <w:unhideWhenUsed/>
    <w:rsid w:val="004F184C"/>
  </w:style>
  <w:style w:type="table" w:customStyle="1" w:styleId="TableGrid4">
    <w:name w:val="Table Grid4"/>
    <w:basedOn w:val="Standardowy"/>
    <w:next w:val="Tabela-Siatka"/>
    <w:uiPriority w:val="39"/>
    <w:rsid w:val="004F184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Bezlisty"/>
    <w:uiPriority w:val="99"/>
    <w:semiHidden/>
    <w:unhideWhenUsed/>
    <w:rsid w:val="009D4B53"/>
  </w:style>
  <w:style w:type="table" w:customStyle="1" w:styleId="TableGrid5">
    <w:name w:val="Table Grid5"/>
    <w:basedOn w:val="Standardowy"/>
    <w:next w:val="Tabela-Siatka"/>
    <w:uiPriority w:val="39"/>
    <w:rsid w:val="009D4B5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Bezlisty"/>
    <w:uiPriority w:val="99"/>
    <w:semiHidden/>
    <w:unhideWhenUsed/>
    <w:rsid w:val="009D4B53"/>
  </w:style>
  <w:style w:type="table" w:customStyle="1" w:styleId="TableGrid6">
    <w:name w:val="Table Grid6"/>
    <w:basedOn w:val="Standardowy"/>
    <w:next w:val="Tabela-Siatka"/>
    <w:uiPriority w:val="39"/>
    <w:rsid w:val="009D4B5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Bezlisty"/>
    <w:uiPriority w:val="99"/>
    <w:semiHidden/>
    <w:unhideWhenUsed/>
    <w:rsid w:val="003D0389"/>
  </w:style>
  <w:style w:type="table" w:customStyle="1" w:styleId="TableGrid7">
    <w:name w:val="Table Grid7"/>
    <w:basedOn w:val="Standardowy"/>
    <w:next w:val="Tabela-Siatka"/>
    <w:uiPriority w:val="39"/>
    <w:rsid w:val="003D038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2">
    <w:name w:val="Table Grid Light2"/>
    <w:basedOn w:val="Standardowy"/>
    <w:uiPriority w:val="40"/>
    <w:rsid w:val="003E7549"/>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Style2">
    <w:name w:val="Style2"/>
    <w:basedOn w:val="Nagwek1"/>
    <w:link w:val="Style2Char"/>
    <w:rsid w:val="00AE0BCA"/>
    <w:pPr>
      <w:numPr>
        <w:numId w:val="15"/>
      </w:numPr>
    </w:pPr>
  </w:style>
  <w:style w:type="paragraph" w:customStyle="1" w:styleId="KF1">
    <w:name w:val="KF 1"/>
    <w:basedOn w:val="Style2"/>
    <w:link w:val="KF1Char"/>
    <w:rsid w:val="00AE0BCA"/>
  </w:style>
  <w:style w:type="paragraph" w:customStyle="1" w:styleId="Nagwek11">
    <w:name w:val="Nagłówek 11"/>
    <w:basedOn w:val="KF1"/>
    <w:next w:val="Nagwek1"/>
    <w:qFormat/>
    <w:rsid w:val="00AE0BCA"/>
    <w:pPr>
      <w:numPr>
        <w:numId w:val="2"/>
      </w:numPr>
    </w:pPr>
  </w:style>
  <w:style w:type="character" w:customStyle="1" w:styleId="Style2Char">
    <w:name w:val="Style2 Char"/>
    <w:basedOn w:val="Nagwek1Znak"/>
    <w:link w:val="Style2"/>
    <w:rsid w:val="00AE0BCA"/>
    <w:rPr>
      <w:rFonts w:ascii="Arial" w:hAnsi="Arial" w:cs="Arial"/>
      <w:b/>
      <w:bCs w:val="0"/>
      <w:sz w:val="28"/>
      <w:szCs w:val="32"/>
      <w:lang w:val="en-GB" w:eastAsia="en-US"/>
    </w:rPr>
  </w:style>
  <w:style w:type="character" w:customStyle="1" w:styleId="KF1Char">
    <w:name w:val="KF 1 Char"/>
    <w:basedOn w:val="Style2Char"/>
    <w:link w:val="KF1"/>
    <w:rsid w:val="00AE0BCA"/>
    <w:rPr>
      <w:rFonts w:ascii="Arial" w:hAnsi="Arial" w:cs="Arial"/>
      <w:b/>
      <w:bCs w:val="0"/>
      <w:sz w:val="28"/>
      <w:szCs w:val="32"/>
      <w:lang w:val="en-GB" w:eastAsia="en-US"/>
    </w:rPr>
  </w:style>
  <w:style w:type="paragraph" w:customStyle="1" w:styleId="Tabele">
    <w:name w:val="Tabele"/>
    <w:basedOn w:val="Bullet"/>
    <w:qFormat/>
    <w:rsid w:val="00D749B3"/>
    <w:pPr>
      <w:keepNext/>
      <w:numPr>
        <w:numId w:val="0"/>
      </w:numPr>
      <w:spacing w:before="240" w:after="0"/>
    </w:pPr>
    <w:rPr>
      <w:b/>
      <w:sz w:val="18"/>
    </w:rPr>
  </w:style>
  <w:style w:type="paragraph" w:customStyle="1" w:styleId="Nagwek110">
    <w:name w:val="Nagłówek 110"/>
    <w:basedOn w:val="KF1"/>
    <w:next w:val="Nagwek1"/>
    <w:qFormat/>
    <w:rsid w:val="00235A91"/>
    <w:pPr>
      <w:numPr>
        <w:numId w:val="0"/>
      </w:numPr>
      <w:ind w:left="432" w:hanging="432"/>
    </w:pPr>
  </w:style>
  <w:style w:type="paragraph" w:customStyle="1" w:styleId="EYTableNormal">
    <w:name w:val="EY Table Normal"/>
    <w:basedOn w:val="EYNormal"/>
    <w:autoRedefine/>
    <w:rsid w:val="00370D7D"/>
    <w:rPr>
      <w:kern w:val="0"/>
      <w:sz w:val="16"/>
    </w:rPr>
  </w:style>
  <w:style w:type="paragraph" w:customStyle="1" w:styleId="EYTableHeading">
    <w:name w:val="EY Table Heading"/>
    <w:basedOn w:val="EYTableText"/>
    <w:rsid w:val="00370D7D"/>
    <w:pPr>
      <w:spacing w:before="60" w:after="60" w:line="240" w:lineRule="auto"/>
    </w:pPr>
    <w:rPr>
      <w:rFonts w:ascii="EYInterstate Regular" w:hAnsi="EYInterstate Regular"/>
      <w:color w:val="808080"/>
      <w:lang w:val="en-US"/>
    </w:rPr>
  </w:style>
  <w:style w:type="paragraph" w:customStyle="1" w:styleId="EYTabletextbold">
    <w:name w:val="EY Table text bold"/>
    <w:basedOn w:val="EYTableText"/>
    <w:next w:val="EYTableText"/>
    <w:rsid w:val="00370D7D"/>
    <w:pPr>
      <w:spacing w:line="240" w:lineRule="auto"/>
    </w:pPr>
    <w:rPr>
      <w:rFonts w:ascii="EYInterstate Regular" w:hAnsi="EYInterstate Regular"/>
      <w:lang w:val="en-US"/>
    </w:rPr>
  </w:style>
  <w:style w:type="paragraph" w:customStyle="1" w:styleId="NumberedList">
    <w:name w:val="Numbered List"/>
    <w:rsid w:val="00370D7D"/>
    <w:pPr>
      <w:numPr>
        <w:numId w:val="26"/>
      </w:numPr>
      <w:spacing w:after="120"/>
    </w:pPr>
    <w:rPr>
      <w:rFonts w:ascii="EYInterstate Light" w:hAnsi="EYInterstate Light"/>
      <w:sz w:val="24"/>
      <w:lang w:val="en-US" w:eastAsia="en-US"/>
    </w:rPr>
  </w:style>
  <w:style w:type="character" w:customStyle="1" w:styleId="UnresolvedMention">
    <w:name w:val="Unresolved Mention"/>
    <w:basedOn w:val="Domylnaczcionkaakapitu"/>
    <w:uiPriority w:val="99"/>
    <w:semiHidden/>
    <w:unhideWhenUsed/>
    <w:rsid w:val="00294E90"/>
    <w:rPr>
      <w:color w:val="605E5C"/>
      <w:shd w:val="clear" w:color="auto" w:fill="E1DFDD"/>
    </w:rPr>
  </w:style>
  <w:style w:type="character" w:styleId="UyteHipercze">
    <w:name w:val="FollowedHyperlink"/>
    <w:basedOn w:val="Domylnaczcionkaakapitu"/>
    <w:semiHidden/>
    <w:unhideWhenUsed/>
    <w:rsid w:val="003908E0"/>
    <w:rPr>
      <w:color w:val="800080" w:themeColor="followedHyperlink"/>
      <w:u w:val="single"/>
    </w:rPr>
  </w:style>
  <w:style w:type="character" w:customStyle="1" w:styleId="citationref">
    <w:name w:val="citationref"/>
    <w:basedOn w:val="Domylnaczcionkaakapitu"/>
    <w:rsid w:val="003B3064"/>
  </w:style>
  <w:style w:type="paragraph" w:customStyle="1" w:styleId="para">
    <w:name w:val="para"/>
    <w:basedOn w:val="Normalny"/>
    <w:rsid w:val="003B3064"/>
    <w:pPr>
      <w:spacing w:before="100" w:beforeAutospacing="1" w:after="100" w:afterAutospacing="1"/>
    </w:pPr>
    <w:rPr>
      <w:rFonts w:ascii="Times New Roman" w:hAnsi="Times New Roman"/>
      <w:sz w:val="24"/>
      <w:lang w:eastAsia="pl-PL"/>
    </w:rPr>
  </w:style>
  <w:style w:type="paragraph" w:styleId="HTML-wstpniesformatowany">
    <w:name w:val="HTML Preformatted"/>
    <w:basedOn w:val="Normalny"/>
    <w:link w:val="HTML-wstpniesformatowanyZnak"/>
    <w:uiPriority w:val="99"/>
    <w:semiHidden/>
    <w:unhideWhenUsed/>
    <w:rsid w:val="000C08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 w:val="20"/>
      <w:szCs w:val="20"/>
      <w:lang w:eastAsia="pl-PL"/>
    </w:rPr>
  </w:style>
  <w:style w:type="character" w:customStyle="1" w:styleId="HTML-wstpniesformatowanyZnak">
    <w:name w:val="HTML - wstępnie sformatowany Znak"/>
    <w:basedOn w:val="Domylnaczcionkaakapitu"/>
    <w:link w:val="HTML-wstpniesformatowany"/>
    <w:uiPriority w:val="99"/>
    <w:semiHidden/>
    <w:rsid w:val="000C0851"/>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86290">
      <w:bodyDiv w:val="1"/>
      <w:marLeft w:val="0"/>
      <w:marRight w:val="0"/>
      <w:marTop w:val="0"/>
      <w:marBottom w:val="0"/>
      <w:divBdr>
        <w:top w:val="none" w:sz="0" w:space="0" w:color="auto"/>
        <w:left w:val="none" w:sz="0" w:space="0" w:color="auto"/>
        <w:bottom w:val="none" w:sz="0" w:space="0" w:color="auto"/>
        <w:right w:val="none" w:sz="0" w:space="0" w:color="auto"/>
      </w:divBdr>
    </w:div>
    <w:div w:id="27223776">
      <w:bodyDiv w:val="1"/>
      <w:marLeft w:val="0"/>
      <w:marRight w:val="0"/>
      <w:marTop w:val="0"/>
      <w:marBottom w:val="0"/>
      <w:divBdr>
        <w:top w:val="none" w:sz="0" w:space="0" w:color="auto"/>
        <w:left w:val="none" w:sz="0" w:space="0" w:color="auto"/>
        <w:bottom w:val="none" w:sz="0" w:space="0" w:color="auto"/>
        <w:right w:val="none" w:sz="0" w:space="0" w:color="auto"/>
      </w:divBdr>
    </w:div>
    <w:div w:id="32970287">
      <w:bodyDiv w:val="1"/>
      <w:marLeft w:val="0"/>
      <w:marRight w:val="0"/>
      <w:marTop w:val="0"/>
      <w:marBottom w:val="0"/>
      <w:divBdr>
        <w:top w:val="none" w:sz="0" w:space="0" w:color="auto"/>
        <w:left w:val="none" w:sz="0" w:space="0" w:color="auto"/>
        <w:bottom w:val="none" w:sz="0" w:space="0" w:color="auto"/>
        <w:right w:val="none" w:sz="0" w:space="0" w:color="auto"/>
      </w:divBdr>
    </w:div>
    <w:div w:id="33580826">
      <w:bodyDiv w:val="1"/>
      <w:marLeft w:val="0"/>
      <w:marRight w:val="0"/>
      <w:marTop w:val="0"/>
      <w:marBottom w:val="0"/>
      <w:divBdr>
        <w:top w:val="none" w:sz="0" w:space="0" w:color="auto"/>
        <w:left w:val="none" w:sz="0" w:space="0" w:color="auto"/>
        <w:bottom w:val="none" w:sz="0" w:space="0" w:color="auto"/>
        <w:right w:val="none" w:sz="0" w:space="0" w:color="auto"/>
      </w:divBdr>
    </w:div>
    <w:div w:id="65763459">
      <w:bodyDiv w:val="1"/>
      <w:marLeft w:val="0"/>
      <w:marRight w:val="0"/>
      <w:marTop w:val="0"/>
      <w:marBottom w:val="0"/>
      <w:divBdr>
        <w:top w:val="none" w:sz="0" w:space="0" w:color="auto"/>
        <w:left w:val="none" w:sz="0" w:space="0" w:color="auto"/>
        <w:bottom w:val="none" w:sz="0" w:space="0" w:color="auto"/>
        <w:right w:val="none" w:sz="0" w:space="0" w:color="auto"/>
      </w:divBdr>
    </w:div>
    <w:div w:id="113182807">
      <w:bodyDiv w:val="1"/>
      <w:marLeft w:val="0"/>
      <w:marRight w:val="0"/>
      <w:marTop w:val="0"/>
      <w:marBottom w:val="0"/>
      <w:divBdr>
        <w:top w:val="none" w:sz="0" w:space="0" w:color="auto"/>
        <w:left w:val="none" w:sz="0" w:space="0" w:color="auto"/>
        <w:bottom w:val="none" w:sz="0" w:space="0" w:color="auto"/>
        <w:right w:val="none" w:sz="0" w:space="0" w:color="auto"/>
      </w:divBdr>
      <w:divsChild>
        <w:div w:id="410390509">
          <w:marLeft w:val="562"/>
          <w:marRight w:val="0"/>
          <w:marTop w:val="0"/>
          <w:marBottom w:val="0"/>
          <w:divBdr>
            <w:top w:val="none" w:sz="0" w:space="0" w:color="auto"/>
            <w:left w:val="none" w:sz="0" w:space="0" w:color="auto"/>
            <w:bottom w:val="none" w:sz="0" w:space="0" w:color="auto"/>
            <w:right w:val="none" w:sz="0" w:space="0" w:color="auto"/>
          </w:divBdr>
        </w:div>
      </w:divsChild>
    </w:div>
    <w:div w:id="122046207">
      <w:bodyDiv w:val="1"/>
      <w:marLeft w:val="0"/>
      <w:marRight w:val="0"/>
      <w:marTop w:val="0"/>
      <w:marBottom w:val="0"/>
      <w:divBdr>
        <w:top w:val="none" w:sz="0" w:space="0" w:color="auto"/>
        <w:left w:val="none" w:sz="0" w:space="0" w:color="auto"/>
        <w:bottom w:val="none" w:sz="0" w:space="0" w:color="auto"/>
        <w:right w:val="none" w:sz="0" w:space="0" w:color="auto"/>
      </w:divBdr>
    </w:div>
    <w:div w:id="132909353">
      <w:bodyDiv w:val="1"/>
      <w:marLeft w:val="0"/>
      <w:marRight w:val="0"/>
      <w:marTop w:val="0"/>
      <w:marBottom w:val="0"/>
      <w:divBdr>
        <w:top w:val="none" w:sz="0" w:space="0" w:color="auto"/>
        <w:left w:val="none" w:sz="0" w:space="0" w:color="auto"/>
        <w:bottom w:val="none" w:sz="0" w:space="0" w:color="auto"/>
        <w:right w:val="none" w:sz="0" w:space="0" w:color="auto"/>
      </w:divBdr>
    </w:div>
    <w:div w:id="155344840">
      <w:bodyDiv w:val="1"/>
      <w:marLeft w:val="0"/>
      <w:marRight w:val="0"/>
      <w:marTop w:val="0"/>
      <w:marBottom w:val="0"/>
      <w:divBdr>
        <w:top w:val="none" w:sz="0" w:space="0" w:color="auto"/>
        <w:left w:val="none" w:sz="0" w:space="0" w:color="auto"/>
        <w:bottom w:val="none" w:sz="0" w:space="0" w:color="auto"/>
        <w:right w:val="none" w:sz="0" w:space="0" w:color="auto"/>
      </w:divBdr>
    </w:div>
    <w:div w:id="158157128">
      <w:bodyDiv w:val="1"/>
      <w:marLeft w:val="0"/>
      <w:marRight w:val="0"/>
      <w:marTop w:val="0"/>
      <w:marBottom w:val="0"/>
      <w:divBdr>
        <w:top w:val="none" w:sz="0" w:space="0" w:color="auto"/>
        <w:left w:val="none" w:sz="0" w:space="0" w:color="auto"/>
        <w:bottom w:val="none" w:sz="0" w:space="0" w:color="auto"/>
        <w:right w:val="none" w:sz="0" w:space="0" w:color="auto"/>
      </w:divBdr>
    </w:div>
    <w:div w:id="173886090">
      <w:bodyDiv w:val="1"/>
      <w:marLeft w:val="0"/>
      <w:marRight w:val="0"/>
      <w:marTop w:val="0"/>
      <w:marBottom w:val="0"/>
      <w:divBdr>
        <w:top w:val="none" w:sz="0" w:space="0" w:color="auto"/>
        <w:left w:val="none" w:sz="0" w:space="0" w:color="auto"/>
        <w:bottom w:val="none" w:sz="0" w:space="0" w:color="auto"/>
        <w:right w:val="none" w:sz="0" w:space="0" w:color="auto"/>
      </w:divBdr>
    </w:div>
    <w:div w:id="194198210">
      <w:bodyDiv w:val="1"/>
      <w:marLeft w:val="0"/>
      <w:marRight w:val="0"/>
      <w:marTop w:val="0"/>
      <w:marBottom w:val="0"/>
      <w:divBdr>
        <w:top w:val="none" w:sz="0" w:space="0" w:color="auto"/>
        <w:left w:val="none" w:sz="0" w:space="0" w:color="auto"/>
        <w:bottom w:val="none" w:sz="0" w:space="0" w:color="auto"/>
        <w:right w:val="none" w:sz="0" w:space="0" w:color="auto"/>
      </w:divBdr>
    </w:div>
    <w:div w:id="194320347">
      <w:bodyDiv w:val="1"/>
      <w:marLeft w:val="0"/>
      <w:marRight w:val="0"/>
      <w:marTop w:val="0"/>
      <w:marBottom w:val="0"/>
      <w:divBdr>
        <w:top w:val="none" w:sz="0" w:space="0" w:color="auto"/>
        <w:left w:val="none" w:sz="0" w:space="0" w:color="auto"/>
        <w:bottom w:val="none" w:sz="0" w:space="0" w:color="auto"/>
        <w:right w:val="none" w:sz="0" w:space="0" w:color="auto"/>
      </w:divBdr>
    </w:div>
    <w:div w:id="197745546">
      <w:bodyDiv w:val="1"/>
      <w:marLeft w:val="0"/>
      <w:marRight w:val="0"/>
      <w:marTop w:val="0"/>
      <w:marBottom w:val="0"/>
      <w:divBdr>
        <w:top w:val="none" w:sz="0" w:space="0" w:color="auto"/>
        <w:left w:val="none" w:sz="0" w:space="0" w:color="auto"/>
        <w:bottom w:val="none" w:sz="0" w:space="0" w:color="auto"/>
        <w:right w:val="none" w:sz="0" w:space="0" w:color="auto"/>
      </w:divBdr>
    </w:div>
    <w:div w:id="213858170">
      <w:bodyDiv w:val="1"/>
      <w:marLeft w:val="0"/>
      <w:marRight w:val="0"/>
      <w:marTop w:val="0"/>
      <w:marBottom w:val="0"/>
      <w:divBdr>
        <w:top w:val="none" w:sz="0" w:space="0" w:color="auto"/>
        <w:left w:val="none" w:sz="0" w:space="0" w:color="auto"/>
        <w:bottom w:val="none" w:sz="0" w:space="0" w:color="auto"/>
        <w:right w:val="none" w:sz="0" w:space="0" w:color="auto"/>
      </w:divBdr>
    </w:div>
    <w:div w:id="219950972">
      <w:bodyDiv w:val="1"/>
      <w:marLeft w:val="0"/>
      <w:marRight w:val="0"/>
      <w:marTop w:val="0"/>
      <w:marBottom w:val="0"/>
      <w:divBdr>
        <w:top w:val="none" w:sz="0" w:space="0" w:color="auto"/>
        <w:left w:val="none" w:sz="0" w:space="0" w:color="auto"/>
        <w:bottom w:val="none" w:sz="0" w:space="0" w:color="auto"/>
        <w:right w:val="none" w:sz="0" w:space="0" w:color="auto"/>
      </w:divBdr>
      <w:divsChild>
        <w:div w:id="194582619">
          <w:marLeft w:val="288"/>
          <w:marRight w:val="0"/>
          <w:marTop w:val="0"/>
          <w:marBottom w:val="0"/>
          <w:divBdr>
            <w:top w:val="none" w:sz="0" w:space="0" w:color="auto"/>
            <w:left w:val="none" w:sz="0" w:space="0" w:color="auto"/>
            <w:bottom w:val="none" w:sz="0" w:space="0" w:color="auto"/>
            <w:right w:val="none" w:sz="0" w:space="0" w:color="auto"/>
          </w:divBdr>
        </w:div>
        <w:div w:id="271909346">
          <w:marLeft w:val="288"/>
          <w:marRight w:val="0"/>
          <w:marTop w:val="0"/>
          <w:marBottom w:val="0"/>
          <w:divBdr>
            <w:top w:val="none" w:sz="0" w:space="0" w:color="auto"/>
            <w:left w:val="none" w:sz="0" w:space="0" w:color="auto"/>
            <w:bottom w:val="none" w:sz="0" w:space="0" w:color="auto"/>
            <w:right w:val="none" w:sz="0" w:space="0" w:color="auto"/>
          </w:divBdr>
        </w:div>
        <w:div w:id="463163037">
          <w:marLeft w:val="288"/>
          <w:marRight w:val="0"/>
          <w:marTop w:val="0"/>
          <w:marBottom w:val="0"/>
          <w:divBdr>
            <w:top w:val="none" w:sz="0" w:space="0" w:color="auto"/>
            <w:left w:val="none" w:sz="0" w:space="0" w:color="auto"/>
            <w:bottom w:val="none" w:sz="0" w:space="0" w:color="auto"/>
            <w:right w:val="none" w:sz="0" w:space="0" w:color="auto"/>
          </w:divBdr>
        </w:div>
        <w:div w:id="1034765471">
          <w:marLeft w:val="288"/>
          <w:marRight w:val="0"/>
          <w:marTop w:val="0"/>
          <w:marBottom w:val="0"/>
          <w:divBdr>
            <w:top w:val="none" w:sz="0" w:space="0" w:color="auto"/>
            <w:left w:val="none" w:sz="0" w:space="0" w:color="auto"/>
            <w:bottom w:val="none" w:sz="0" w:space="0" w:color="auto"/>
            <w:right w:val="none" w:sz="0" w:space="0" w:color="auto"/>
          </w:divBdr>
        </w:div>
        <w:div w:id="1641955253">
          <w:marLeft w:val="288"/>
          <w:marRight w:val="0"/>
          <w:marTop w:val="0"/>
          <w:marBottom w:val="0"/>
          <w:divBdr>
            <w:top w:val="none" w:sz="0" w:space="0" w:color="auto"/>
            <w:left w:val="none" w:sz="0" w:space="0" w:color="auto"/>
            <w:bottom w:val="none" w:sz="0" w:space="0" w:color="auto"/>
            <w:right w:val="none" w:sz="0" w:space="0" w:color="auto"/>
          </w:divBdr>
        </w:div>
      </w:divsChild>
    </w:div>
    <w:div w:id="221409551">
      <w:bodyDiv w:val="1"/>
      <w:marLeft w:val="0"/>
      <w:marRight w:val="0"/>
      <w:marTop w:val="0"/>
      <w:marBottom w:val="0"/>
      <w:divBdr>
        <w:top w:val="none" w:sz="0" w:space="0" w:color="auto"/>
        <w:left w:val="none" w:sz="0" w:space="0" w:color="auto"/>
        <w:bottom w:val="none" w:sz="0" w:space="0" w:color="auto"/>
        <w:right w:val="none" w:sz="0" w:space="0" w:color="auto"/>
      </w:divBdr>
    </w:div>
    <w:div w:id="228348814">
      <w:bodyDiv w:val="1"/>
      <w:marLeft w:val="0"/>
      <w:marRight w:val="0"/>
      <w:marTop w:val="0"/>
      <w:marBottom w:val="0"/>
      <w:divBdr>
        <w:top w:val="none" w:sz="0" w:space="0" w:color="auto"/>
        <w:left w:val="none" w:sz="0" w:space="0" w:color="auto"/>
        <w:bottom w:val="none" w:sz="0" w:space="0" w:color="auto"/>
        <w:right w:val="none" w:sz="0" w:space="0" w:color="auto"/>
      </w:divBdr>
    </w:div>
    <w:div w:id="236675491">
      <w:bodyDiv w:val="1"/>
      <w:marLeft w:val="0"/>
      <w:marRight w:val="0"/>
      <w:marTop w:val="0"/>
      <w:marBottom w:val="0"/>
      <w:divBdr>
        <w:top w:val="none" w:sz="0" w:space="0" w:color="auto"/>
        <w:left w:val="none" w:sz="0" w:space="0" w:color="auto"/>
        <w:bottom w:val="none" w:sz="0" w:space="0" w:color="auto"/>
        <w:right w:val="none" w:sz="0" w:space="0" w:color="auto"/>
      </w:divBdr>
    </w:div>
    <w:div w:id="245500562">
      <w:bodyDiv w:val="1"/>
      <w:marLeft w:val="0"/>
      <w:marRight w:val="0"/>
      <w:marTop w:val="0"/>
      <w:marBottom w:val="0"/>
      <w:divBdr>
        <w:top w:val="none" w:sz="0" w:space="0" w:color="auto"/>
        <w:left w:val="none" w:sz="0" w:space="0" w:color="auto"/>
        <w:bottom w:val="none" w:sz="0" w:space="0" w:color="auto"/>
        <w:right w:val="none" w:sz="0" w:space="0" w:color="auto"/>
      </w:divBdr>
    </w:div>
    <w:div w:id="254022630">
      <w:bodyDiv w:val="1"/>
      <w:marLeft w:val="0"/>
      <w:marRight w:val="0"/>
      <w:marTop w:val="0"/>
      <w:marBottom w:val="0"/>
      <w:divBdr>
        <w:top w:val="none" w:sz="0" w:space="0" w:color="auto"/>
        <w:left w:val="none" w:sz="0" w:space="0" w:color="auto"/>
        <w:bottom w:val="none" w:sz="0" w:space="0" w:color="auto"/>
        <w:right w:val="none" w:sz="0" w:space="0" w:color="auto"/>
      </w:divBdr>
    </w:div>
    <w:div w:id="258564147">
      <w:bodyDiv w:val="1"/>
      <w:marLeft w:val="0"/>
      <w:marRight w:val="0"/>
      <w:marTop w:val="0"/>
      <w:marBottom w:val="0"/>
      <w:divBdr>
        <w:top w:val="none" w:sz="0" w:space="0" w:color="auto"/>
        <w:left w:val="none" w:sz="0" w:space="0" w:color="auto"/>
        <w:bottom w:val="none" w:sz="0" w:space="0" w:color="auto"/>
        <w:right w:val="none" w:sz="0" w:space="0" w:color="auto"/>
      </w:divBdr>
    </w:div>
    <w:div w:id="270629511">
      <w:bodyDiv w:val="1"/>
      <w:marLeft w:val="0"/>
      <w:marRight w:val="0"/>
      <w:marTop w:val="0"/>
      <w:marBottom w:val="0"/>
      <w:divBdr>
        <w:top w:val="none" w:sz="0" w:space="0" w:color="auto"/>
        <w:left w:val="none" w:sz="0" w:space="0" w:color="auto"/>
        <w:bottom w:val="none" w:sz="0" w:space="0" w:color="auto"/>
        <w:right w:val="none" w:sz="0" w:space="0" w:color="auto"/>
      </w:divBdr>
      <w:divsChild>
        <w:div w:id="1746415269">
          <w:marLeft w:val="230"/>
          <w:marRight w:val="0"/>
          <w:marTop w:val="0"/>
          <w:marBottom w:val="0"/>
          <w:divBdr>
            <w:top w:val="none" w:sz="0" w:space="0" w:color="auto"/>
            <w:left w:val="none" w:sz="0" w:space="0" w:color="auto"/>
            <w:bottom w:val="none" w:sz="0" w:space="0" w:color="auto"/>
            <w:right w:val="none" w:sz="0" w:space="0" w:color="auto"/>
          </w:divBdr>
        </w:div>
      </w:divsChild>
    </w:div>
    <w:div w:id="280258993">
      <w:bodyDiv w:val="1"/>
      <w:marLeft w:val="0"/>
      <w:marRight w:val="0"/>
      <w:marTop w:val="0"/>
      <w:marBottom w:val="0"/>
      <w:divBdr>
        <w:top w:val="none" w:sz="0" w:space="0" w:color="auto"/>
        <w:left w:val="none" w:sz="0" w:space="0" w:color="auto"/>
        <w:bottom w:val="none" w:sz="0" w:space="0" w:color="auto"/>
        <w:right w:val="none" w:sz="0" w:space="0" w:color="auto"/>
      </w:divBdr>
    </w:div>
    <w:div w:id="323973563">
      <w:bodyDiv w:val="1"/>
      <w:marLeft w:val="0"/>
      <w:marRight w:val="0"/>
      <w:marTop w:val="0"/>
      <w:marBottom w:val="0"/>
      <w:divBdr>
        <w:top w:val="none" w:sz="0" w:space="0" w:color="auto"/>
        <w:left w:val="none" w:sz="0" w:space="0" w:color="auto"/>
        <w:bottom w:val="none" w:sz="0" w:space="0" w:color="auto"/>
        <w:right w:val="none" w:sz="0" w:space="0" w:color="auto"/>
      </w:divBdr>
      <w:divsChild>
        <w:div w:id="2044475213">
          <w:marLeft w:val="288"/>
          <w:marRight w:val="0"/>
          <w:marTop w:val="0"/>
          <w:marBottom w:val="60"/>
          <w:divBdr>
            <w:top w:val="none" w:sz="0" w:space="0" w:color="auto"/>
            <w:left w:val="none" w:sz="0" w:space="0" w:color="auto"/>
            <w:bottom w:val="none" w:sz="0" w:space="0" w:color="auto"/>
            <w:right w:val="none" w:sz="0" w:space="0" w:color="auto"/>
          </w:divBdr>
        </w:div>
      </w:divsChild>
    </w:div>
    <w:div w:id="329523132">
      <w:bodyDiv w:val="1"/>
      <w:marLeft w:val="0"/>
      <w:marRight w:val="0"/>
      <w:marTop w:val="0"/>
      <w:marBottom w:val="0"/>
      <w:divBdr>
        <w:top w:val="none" w:sz="0" w:space="0" w:color="auto"/>
        <w:left w:val="none" w:sz="0" w:space="0" w:color="auto"/>
        <w:bottom w:val="none" w:sz="0" w:space="0" w:color="auto"/>
        <w:right w:val="none" w:sz="0" w:space="0" w:color="auto"/>
      </w:divBdr>
    </w:div>
    <w:div w:id="343748735">
      <w:bodyDiv w:val="1"/>
      <w:marLeft w:val="0"/>
      <w:marRight w:val="0"/>
      <w:marTop w:val="0"/>
      <w:marBottom w:val="0"/>
      <w:divBdr>
        <w:top w:val="none" w:sz="0" w:space="0" w:color="auto"/>
        <w:left w:val="none" w:sz="0" w:space="0" w:color="auto"/>
        <w:bottom w:val="none" w:sz="0" w:space="0" w:color="auto"/>
        <w:right w:val="none" w:sz="0" w:space="0" w:color="auto"/>
      </w:divBdr>
      <w:divsChild>
        <w:div w:id="550964229">
          <w:marLeft w:val="562"/>
          <w:marRight w:val="0"/>
          <w:marTop w:val="0"/>
          <w:marBottom w:val="36"/>
          <w:divBdr>
            <w:top w:val="none" w:sz="0" w:space="0" w:color="auto"/>
            <w:left w:val="none" w:sz="0" w:space="0" w:color="auto"/>
            <w:bottom w:val="none" w:sz="0" w:space="0" w:color="auto"/>
            <w:right w:val="none" w:sz="0" w:space="0" w:color="auto"/>
          </w:divBdr>
        </w:div>
      </w:divsChild>
    </w:div>
    <w:div w:id="368071934">
      <w:bodyDiv w:val="1"/>
      <w:marLeft w:val="0"/>
      <w:marRight w:val="0"/>
      <w:marTop w:val="0"/>
      <w:marBottom w:val="0"/>
      <w:divBdr>
        <w:top w:val="none" w:sz="0" w:space="0" w:color="auto"/>
        <w:left w:val="none" w:sz="0" w:space="0" w:color="auto"/>
        <w:bottom w:val="none" w:sz="0" w:space="0" w:color="auto"/>
        <w:right w:val="none" w:sz="0" w:space="0" w:color="auto"/>
      </w:divBdr>
    </w:div>
    <w:div w:id="368337247">
      <w:bodyDiv w:val="1"/>
      <w:marLeft w:val="0"/>
      <w:marRight w:val="0"/>
      <w:marTop w:val="0"/>
      <w:marBottom w:val="0"/>
      <w:divBdr>
        <w:top w:val="none" w:sz="0" w:space="0" w:color="auto"/>
        <w:left w:val="none" w:sz="0" w:space="0" w:color="auto"/>
        <w:bottom w:val="none" w:sz="0" w:space="0" w:color="auto"/>
        <w:right w:val="none" w:sz="0" w:space="0" w:color="auto"/>
      </w:divBdr>
    </w:div>
    <w:div w:id="374626149">
      <w:bodyDiv w:val="1"/>
      <w:marLeft w:val="0"/>
      <w:marRight w:val="0"/>
      <w:marTop w:val="0"/>
      <w:marBottom w:val="0"/>
      <w:divBdr>
        <w:top w:val="none" w:sz="0" w:space="0" w:color="auto"/>
        <w:left w:val="none" w:sz="0" w:space="0" w:color="auto"/>
        <w:bottom w:val="none" w:sz="0" w:space="0" w:color="auto"/>
        <w:right w:val="none" w:sz="0" w:space="0" w:color="auto"/>
      </w:divBdr>
    </w:div>
    <w:div w:id="390345640">
      <w:bodyDiv w:val="1"/>
      <w:marLeft w:val="0"/>
      <w:marRight w:val="0"/>
      <w:marTop w:val="0"/>
      <w:marBottom w:val="0"/>
      <w:divBdr>
        <w:top w:val="none" w:sz="0" w:space="0" w:color="auto"/>
        <w:left w:val="none" w:sz="0" w:space="0" w:color="auto"/>
        <w:bottom w:val="none" w:sz="0" w:space="0" w:color="auto"/>
        <w:right w:val="none" w:sz="0" w:space="0" w:color="auto"/>
      </w:divBdr>
    </w:div>
    <w:div w:id="392777724">
      <w:bodyDiv w:val="1"/>
      <w:marLeft w:val="0"/>
      <w:marRight w:val="0"/>
      <w:marTop w:val="0"/>
      <w:marBottom w:val="0"/>
      <w:divBdr>
        <w:top w:val="none" w:sz="0" w:space="0" w:color="auto"/>
        <w:left w:val="none" w:sz="0" w:space="0" w:color="auto"/>
        <w:bottom w:val="none" w:sz="0" w:space="0" w:color="auto"/>
        <w:right w:val="none" w:sz="0" w:space="0" w:color="auto"/>
      </w:divBdr>
    </w:div>
    <w:div w:id="421297496">
      <w:bodyDiv w:val="1"/>
      <w:marLeft w:val="0"/>
      <w:marRight w:val="0"/>
      <w:marTop w:val="0"/>
      <w:marBottom w:val="0"/>
      <w:divBdr>
        <w:top w:val="none" w:sz="0" w:space="0" w:color="auto"/>
        <w:left w:val="none" w:sz="0" w:space="0" w:color="auto"/>
        <w:bottom w:val="none" w:sz="0" w:space="0" w:color="auto"/>
        <w:right w:val="none" w:sz="0" w:space="0" w:color="auto"/>
      </w:divBdr>
    </w:div>
    <w:div w:id="444154180">
      <w:bodyDiv w:val="1"/>
      <w:marLeft w:val="0"/>
      <w:marRight w:val="0"/>
      <w:marTop w:val="0"/>
      <w:marBottom w:val="0"/>
      <w:divBdr>
        <w:top w:val="none" w:sz="0" w:space="0" w:color="auto"/>
        <w:left w:val="none" w:sz="0" w:space="0" w:color="auto"/>
        <w:bottom w:val="none" w:sz="0" w:space="0" w:color="auto"/>
        <w:right w:val="none" w:sz="0" w:space="0" w:color="auto"/>
      </w:divBdr>
    </w:div>
    <w:div w:id="452330220">
      <w:bodyDiv w:val="1"/>
      <w:marLeft w:val="0"/>
      <w:marRight w:val="0"/>
      <w:marTop w:val="0"/>
      <w:marBottom w:val="0"/>
      <w:divBdr>
        <w:top w:val="none" w:sz="0" w:space="0" w:color="auto"/>
        <w:left w:val="none" w:sz="0" w:space="0" w:color="auto"/>
        <w:bottom w:val="none" w:sz="0" w:space="0" w:color="auto"/>
        <w:right w:val="none" w:sz="0" w:space="0" w:color="auto"/>
      </w:divBdr>
    </w:div>
    <w:div w:id="456029016">
      <w:bodyDiv w:val="1"/>
      <w:marLeft w:val="0"/>
      <w:marRight w:val="0"/>
      <w:marTop w:val="0"/>
      <w:marBottom w:val="0"/>
      <w:divBdr>
        <w:top w:val="none" w:sz="0" w:space="0" w:color="auto"/>
        <w:left w:val="none" w:sz="0" w:space="0" w:color="auto"/>
        <w:bottom w:val="none" w:sz="0" w:space="0" w:color="auto"/>
        <w:right w:val="none" w:sz="0" w:space="0" w:color="auto"/>
      </w:divBdr>
    </w:div>
    <w:div w:id="469131868">
      <w:bodyDiv w:val="1"/>
      <w:marLeft w:val="0"/>
      <w:marRight w:val="0"/>
      <w:marTop w:val="0"/>
      <w:marBottom w:val="0"/>
      <w:divBdr>
        <w:top w:val="none" w:sz="0" w:space="0" w:color="auto"/>
        <w:left w:val="none" w:sz="0" w:space="0" w:color="auto"/>
        <w:bottom w:val="none" w:sz="0" w:space="0" w:color="auto"/>
        <w:right w:val="none" w:sz="0" w:space="0" w:color="auto"/>
      </w:divBdr>
      <w:divsChild>
        <w:div w:id="1139108350">
          <w:marLeft w:val="288"/>
          <w:marRight w:val="0"/>
          <w:marTop w:val="0"/>
          <w:marBottom w:val="0"/>
          <w:divBdr>
            <w:top w:val="none" w:sz="0" w:space="0" w:color="auto"/>
            <w:left w:val="none" w:sz="0" w:space="0" w:color="auto"/>
            <w:bottom w:val="none" w:sz="0" w:space="0" w:color="auto"/>
            <w:right w:val="none" w:sz="0" w:space="0" w:color="auto"/>
          </w:divBdr>
        </w:div>
        <w:div w:id="1733387795">
          <w:marLeft w:val="288"/>
          <w:marRight w:val="0"/>
          <w:marTop w:val="0"/>
          <w:marBottom w:val="0"/>
          <w:divBdr>
            <w:top w:val="none" w:sz="0" w:space="0" w:color="auto"/>
            <w:left w:val="none" w:sz="0" w:space="0" w:color="auto"/>
            <w:bottom w:val="none" w:sz="0" w:space="0" w:color="auto"/>
            <w:right w:val="none" w:sz="0" w:space="0" w:color="auto"/>
          </w:divBdr>
        </w:div>
      </w:divsChild>
    </w:div>
    <w:div w:id="493684439">
      <w:bodyDiv w:val="1"/>
      <w:marLeft w:val="0"/>
      <w:marRight w:val="0"/>
      <w:marTop w:val="0"/>
      <w:marBottom w:val="0"/>
      <w:divBdr>
        <w:top w:val="none" w:sz="0" w:space="0" w:color="auto"/>
        <w:left w:val="none" w:sz="0" w:space="0" w:color="auto"/>
        <w:bottom w:val="none" w:sz="0" w:space="0" w:color="auto"/>
        <w:right w:val="none" w:sz="0" w:space="0" w:color="auto"/>
      </w:divBdr>
    </w:div>
    <w:div w:id="509608147">
      <w:bodyDiv w:val="1"/>
      <w:marLeft w:val="0"/>
      <w:marRight w:val="0"/>
      <w:marTop w:val="0"/>
      <w:marBottom w:val="0"/>
      <w:divBdr>
        <w:top w:val="none" w:sz="0" w:space="0" w:color="auto"/>
        <w:left w:val="none" w:sz="0" w:space="0" w:color="auto"/>
        <w:bottom w:val="none" w:sz="0" w:space="0" w:color="auto"/>
        <w:right w:val="none" w:sz="0" w:space="0" w:color="auto"/>
      </w:divBdr>
    </w:div>
    <w:div w:id="525750914">
      <w:bodyDiv w:val="1"/>
      <w:marLeft w:val="0"/>
      <w:marRight w:val="0"/>
      <w:marTop w:val="0"/>
      <w:marBottom w:val="0"/>
      <w:divBdr>
        <w:top w:val="none" w:sz="0" w:space="0" w:color="auto"/>
        <w:left w:val="none" w:sz="0" w:space="0" w:color="auto"/>
        <w:bottom w:val="none" w:sz="0" w:space="0" w:color="auto"/>
        <w:right w:val="none" w:sz="0" w:space="0" w:color="auto"/>
      </w:divBdr>
    </w:div>
    <w:div w:id="526332814">
      <w:bodyDiv w:val="1"/>
      <w:marLeft w:val="0"/>
      <w:marRight w:val="0"/>
      <w:marTop w:val="0"/>
      <w:marBottom w:val="0"/>
      <w:divBdr>
        <w:top w:val="none" w:sz="0" w:space="0" w:color="auto"/>
        <w:left w:val="none" w:sz="0" w:space="0" w:color="auto"/>
        <w:bottom w:val="none" w:sz="0" w:space="0" w:color="auto"/>
        <w:right w:val="none" w:sz="0" w:space="0" w:color="auto"/>
      </w:divBdr>
    </w:div>
    <w:div w:id="526717338">
      <w:bodyDiv w:val="1"/>
      <w:marLeft w:val="0"/>
      <w:marRight w:val="0"/>
      <w:marTop w:val="0"/>
      <w:marBottom w:val="0"/>
      <w:divBdr>
        <w:top w:val="none" w:sz="0" w:space="0" w:color="auto"/>
        <w:left w:val="none" w:sz="0" w:space="0" w:color="auto"/>
        <w:bottom w:val="none" w:sz="0" w:space="0" w:color="auto"/>
        <w:right w:val="none" w:sz="0" w:space="0" w:color="auto"/>
      </w:divBdr>
    </w:div>
    <w:div w:id="536695318">
      <w:bodyDiv w:val="1"/>
      <w:marLeft w:val="0"/>
      <w:marRight w:val="0"/>
      <w:marTop w:val="0"/>
      <w:marBottom w:val="0"/>
      <w:divBdr>
        <w:top w:val="none" w:sz="0" w:space="0" w:color="auto"/>
        <w:left w:val="none" w:sz="0" w:space="0" w:color="auto"/>
        <w:bottom w:val="none" w:sz="0" w:space="0" w:color="auto"/>
        <w:right w:val="none" w:sz="0" w:space="0" w:color="auto"/>
      </w:divBdr>
    </w:div>
    <w:div w:id="543099885">
      <w:bodyDiv w:val="1"/>
      <w:marLeft w:val="0"/>
      <w:marRight w:val="0"/>
      <w:marTop w:val="0"/>
      <w:marBottom w:val="0"/>
      <w:divBdr>
        <w:top w:val="none" w:sz="0" w:space="0" w:color="auto"/>
        <w:left w:val="none" w:sz="0" w:space="0" w:color="auto"/>
        <w:bottom w:val="none" w:sz="0" w:space="0" w:color="auto"/>
        <w:right w:val="none" w:sz="0" w:space="0" w:color="auto"/>
      </w:divBdr>
    </w:div>
    <w:div w:id="547298301">
      <w:bodyDiv w:val="1"/>
      <w:marLeft w:val="0"/>
      <w:marRight w:val="0"/>
      <w:marTop w:val="0"/>
      <w:marBottom w:val="0"/>
      <w:divBdr>
        <w:top w:val="none" w:sz="0" w:space="0" w:color="auto"/>
        <w:left w:val="none" w:sz="0" w:space="0" w:color="auto"/>
        <w:bottom w:val="none" w:sz="0" w:space="0" w:color="auto"/>
        <w:right w:val="none" w:sz="0" w:space="0" w:color="auto"/>
      </w:divBdr>
    </w:div>
    <w:div w:id="554970478">
      <w:bodyDiv w:val="1"/>
      <w:marLeft w:val="0"/>
      <w:marRight w:val="0"/>
      <w:marTop w:val="0"/>
      <w:marBottom w:val="0"/>
      <w:divBdr>
        <w:top w:val="none" w:sz="0" w:space="0" w:color="auto"/>
        <w:left w:val="none" w:sz="0" w:space="0" w:color="auto"/>
        <w:bottom w:val="none" w:sz="0" w:space="0" w:color="auto"/>
        <w:right w:val="none" w:sz="0" w:space="0" w:color="auto"/>
      </w:divBdr>
    </w:div>
    <w:div w:id="571935457">
      <w:bodyDiv w:val="1"/>
      <w:marLeft w:val="0"/>
      <w:marRight w:val="0"/>
      <w:marTop w:val="0"/>
      <w:marBottom w:val="0"/>
      <w:divBdr>
        <w:top w:val="none" w:sz="0" w:space="0" w:color="auto"/>
        <w:left w:val="none" w:sz="0" w:space="0" w:color="auto"/>
        <w:bottom w:val="none" w:sz="0" w:space="0" w:color="auto"/>
        <w:right w:val="none" w:sz="0" w:space="0" w:color="auto"/>
      </w:divBdr>
      <w:divsChild>
        <w:div w:id="5207443">
          <w:marLeft w:val="288"/>
          <w:marRight w:val="0"/>
          <w:marTop w:val="0"/>
          <w:marBottom w:val="0"/>
          <w:divBdr>
            <w:top w:val="none" w:sz="0" w:space="0" w:color="auto"/>
            <w:left w:val="none" w:sz="0" w:space="0" w:color="auto"/>
            <w:bottom w:val="none" w:sz="0" w:space="0" w:color="auto"/>
            <w:right w:val="none" w:sz="0" w:space="0" w:color="auto"/>
          </w:divBdr>
        </w:div>
        <w:div w:id="556673678">
          <w:marLeft w:val="288"/>
          <w:marRight w:val="0"/>
          <w:marTop w:val="0"/>
          <w:marBottom w:val="0"/>
          <w:divBdr>
            <w:top w:val="none" w:sz="0" w:space="0" w:color="auto"/>
            <w:left w:val="none" w:sz="0" w:space="0" w:color="auto"/>
            <w:bottom w:val="none" w:sz="0" w:space="0" w:color="auto"/>
            <w:right w:val="none" w:sz="0" w:space="0" w:color="auto"/>
          </w:divBdr>
        </w:div>
        <w:div w:id="593704070">
          <w:marLeft w:val="288"/>
          <w:marRight w:val="0"/>
          <w:marTop w:val="0"/>
          <w:marBottom w:val="0"/>
          <w:divBdr>
            <w:top w:val="none" w:sz="0" w:space="0" w:color="auto"/>
            <w:left w:val="none" w:sz="0" w:space="0" w:color="auto"/>
            <w:bottom w:val="none" w:sz="0" w:space="0" w:color="auto"/>
            <w:right w:val="none" w:sz="0" w:space="0" w:color="auto"/>
          </w:divBdr>
        </w:div>
        <w:div w:id="775563841">
          <w:marLeft w:val="288"/>
          <w:marRight w:val="0"/>
          <w:marTop w:val="0"/>
          <w:marBottom w:val="0"/>
          <w:divBdr>
            <w:top w:val="none" w:sz="0" w:space="0" w:color="auto"/>
            <w:left w:val="none" w:sz="0" w:space="0" w:color="auto"/>
            <w:bottom w:val="none" w:sz="0" w:space="0" w:color="auto"/>
            <w:right w:val="none" w:sz="0" w:space="0" w:color="auto"/>
          </w:divBdr>
        </w:div>
        <w:div w:id="1003358285">
          <w:marLeft w:val="288"/>
          <w:marRight w:val="0"/>
          <w:marTop w:val="0"/>
          <w:marBottom w:val="0"/>
          <w:divBdr>
            <w:top w:val="none" w:sz="0" w:space="0" w:color="auto"/>
            <w:left w:val="none" w:sz="0" w:space="0" w:color="auto"/>
            <w:bottom w:val="none" w:sz="0" w:space="0" w:color="auto"/>
            <w:right w:val="none" w:sz="0" w:space="0" w:color="auto"/>
          </w:divBdr>
        </w:div>
        <w:div w:id="2106420329">
          <w:marLeft w:val="288"/>
          <w:marRight w:val="0"/>
          <w:marTop w:val="0"/>
          <w:marBottom w:val="0"/>
          <w:divBdr>
            <w:top w:val="none" w:sz="0" w:space="0" w:color="auto"/>
            <w:left w:val="none" w:sz="0" w:space="0" w:color="auto"/>
            <w:bottom w:val="none" w:sz="0" w:space="0" w:color="auto"/>
            <w:right w:val="none" w:sz="0" w:space="0" w:color="auto"/>
          </w:divBdr>
        </w:div>
      </w:divsChild>
    </w:div>
    <w:div w:id="572665892">
      <w:bodyDiv w:val="1"/>
      <w:marLeft w:val="0"/>
      <w:marRight w:val="0"/>
      <w:marTop w:val="0"/>
      <w:marBottom w:val="0"/>
      <w:divBdr>
        <w:top w:val="none" w:sz="0" w:space="0" w:color="auto"/>
        <w:left w:val="none" w:sz="0" w:space="0" w:color="auto"/>
        <w:bottom w:val="none" w:sz="0" w:space="0" w:color="auto"/>
        <w:right w:val="none" w:sz="0" w:space="0" w:color="auto"/>
      </w:divBdr>
    </w:div>
    <w:div w:id="589196946">
      <w:bodyDiv w:val="1"/>
      <w:marLeft w:val="0"/>
      <w:marRight w:val="0"/>
      <w:marTop w:val="0"/>
      <w:marBottom w:val="0"/>
      <w:divBdr>
        <w:top w:val="none" w:sz="0" w:space="0" w:color="auto"/>
        <w:left w:val="none" w:sz="0" w:space="0" w:color="auto"/>
        <w:bottom w:val="none" w:sz="0" w:space="0" w:color="auto"/>
        <w:right w:val="none" w:sz="0" w:space="0" w:color="auto"/>
      </w:divBdr>
    </w:div>
    <w:div w:id="590167073">
      <w:bodyDiv w:val="1"/>
      <w:marLeft w:val="0"/>
      <w:marRight w:val="0"/>
      <w:marTop w:val="0"/>
      <w:marBottom w:val="0"/>
      <w:divBdr>
        <w:top w:val="none" w:sz="0" w:space="0" w:color="auto"/>
        <w:left w:val="none" w:sz="0" w:space="0" w:color="auto"/>
        <w:bottom w:val="none" w:sz="0" w:space="0" w:color="auto"/>
        <w:right w:val="none" w:sz="0" w:space="0" w:color="auto"/>
      </w:divBdr>
      <w:divsChild>
        <w:div w:id="160432236">
          <w:marLeft w:val="288"/>
          <w:marRight w:val="0"/>
          <w:marTop w:val="0"/>
          <w:marBottom w:val="0"/>
          <w:divBdr>
            <w:top w:val="none" w:sz="0" w:space="0" w:color="auto"/>
            <w:left w:val="none" w:sz="0" w:space="0" w:color="auto"/>
            <w:bottom w:val="none" w:sz="0" w:space="0" w:color="auto"/>
            <w:right w:val="none" w:sz="0" w:space="0" w:color="auto"/>
          </w:divBdr>
        </w:div>
        <w:div w:id="467090896">
          <w:marLeft w:val="288"/>
          <w:marRight w:val="0"/>
          <w:marTop w:val="0"/>
          <w:marBottom w:val="0"/>
          <w:divBdr>
            <w:top w:val="none" w:sz="0" w:space="0" w:color="auto"/>
            <w:left w:val="none" w:sz="0" w:space="0" w:color="auto"/>
            <w:bottom w:val="none" w:sz="0" w:space="0" w:color="auto"/>
            <w:right w:val="none" w:sz="0" w:space="0" w:color="auto"/>
          </w:divBdr>
        </w:div>
        <w:div w:id="941498004">
          <w:marLeft w:val="288"/>
          <w:marRight w:val="0"/>
          <w:marTop w:val="0"/>
          <w:marBottom w:val="0"/>
          <w:divBdr>
            <w:top w:val="none" w:sz="0" w:space="0" w:color="auto"/>
            <w:left w:val="none" w:sz="0" w:space="0" w:color="auto"/>
            <w:bottom w:val="none" w:sz="0" w:space="0" w:color="auto"/>
            <w:right w:val="none" w:sz="0" w:space="0" w:color="auto"/>
          </w:divBdr>
        </w:div>
        <w:div w:id="1000693945">
          <w:marLeft w:val="288"/>
          <w:marRight w:val="0"/>
          <w:marTop w:val="0"/>
          <w:marBottom w:val="0"/>
          <w:divBdr>
            <w:top w:val="none" w:sz="0" w:space="0" w:color="auto"/>
            <w:left w:val="none" w:sz="0" w:space="0" w:color="auto"/>
            <w:bottom w:val="none" w:sz="0" w:space="0" w:color="auto"/>
            <w:right w:val="none" w:sz="0" w:space="0" w:color="auto"/>
          </w:divBdr>
        </w:div>
        <w:div w:id="1610431086">
          <w:marLeft w:val="288"/>
          <w:marRight w:val="0"/>
          <w:marTop w:val="0"/>
          <w:marBottom w:val="0"/>
          <w:divBdr>
            <w:top w:val="none" w:sz="0" w:space="0" w:color="auto"/>
            <w:left w:val="none" w:sz="0" w:space="0" w:color="auto"/>
            <w:bottom w:val="none" w:sz="0" w:space="0" w:color="auto"/>
            <w:right w:val="none" w:sz="0" w:space="0" w:color="auto"/>
          </w:divBdr>
        </w:div>
        <w:div w:id="1824085532">
          <w:marLeft w:val="288"/>
          <w:marRight w:val="0"/>
          <w:marTop w:val="0"/>
          <w:marBottom w:val="0"/>
          <w:divBdr>
            <w:top w:val="none" w:sz="0" w:space="0" w:color="auto"/>
            <w:left w:val="none" w:sz="0" w:space="0" w:color="auto"/>
            <w:bottom w:val="none" w:sz="0" w:space="0" w:color="auto"/>
            <w:right w:val="none" w:sz="0" w:space="0" w:color="auto"/>
          </w:divBdr>
        </w:div>
      </w:divsChild>
    </w:div>
    <w:div w:id="603341677">
      <w:bodyDiv w:val="1"/>
      <w:marLeft w:val="0"/>
      <w:marRight w:val="0"/>
      <w:marTop w:val="0"/>
      <w:marBottom w:val="0"/>
      <w:divBdr>
        <w:top w:val="none" w:sz="0" w:space="0" w:color="auto"/>
        <w:left w:val="none" w:sz="0" w:space="0" w:color="auto"/>
        <w:bottom w:val="none" w:sz="0" w:space="0" w:color="auto"/>
        <w:right w:val="none" w:sz="0" w:space="0" w:color="auto"/>
      </w:divBdr>
    </w:div>
    <w:div w:id="605891826">
      <w:bodyDiv w:val="1"/>
      <w:marLeft w:val="0"/>
      <w:marRight w:val="0"/>
      <w:marTop w:val="0"/>
      <w:marBottom w:val="0"/>
      <w:divBdr>
        <w:top w:val="none" w:sz="0" w:space="0" w:color="auto"/>
        <w:left w:val="none" w:sz="0" w:space="0" w:color="auto"/>
        <w:bottom w:val="none" w:sz="0" w:space="0" w:color="auto"/>
        <w:right w:val="none" w:sz="0" w:space="0" w:color="auto"/>
      </w:divBdr>
    </w:div>
    <w:div w:id="612907252">
      <w:bodyDiv w:val="1"/>
      <w:marLeft w:val="0"/>
      <w:marRight w:val="0"/>
      <w:marTop w:val="0"/>
      <w:marBottom w:val="0"/>
      <w:divBdr>
        <w:top w:val="none" w:sz="0" w:space="0" w:color="auto"/>
        <w:left w:val="none" w:sz="0" w:space="0" w:color="auto"/>
        <w:bottom w:val="none" w:sz="0" w:space="0" w:color="auto"/>
        <w:right w:val="none" w:sz="0" w:space="0" w:color="auto"/>
      </w:divBdr>
    </w:div>
    <w:div w:id="638532499">
      <w:bodyDiv w:val="1"/>
      <w:marLeft w:val="0"/>
      <w:marRight w:val="0"/>
      <w:marTop w:val="0"/>
      <w:marBottom w:val="0"/>
      <w:divBdr>
        <w:top w:val="none" w:sz="0" w:space="0" w:color="auto"/>
        <w:left w:val="none" w:sz="0" w:space="0" w:color="auto"/>
        <w:bottom w:val="none" w:sz="0" w:space="0" w:color="auto"/>
        <w:right w:val="none" w:sz="0" w:space="0" w:color="auto"/>
      </w:divBdr>
    </w:div>
    <w:div w:id="639530126">
      <w:bodyDiv w:val="1"/>
      <w:marLeft w:val="0"/>
      <w:marRight w:val="0"/>
      <w:marTop w:val="0"/>
      <w:marBottom w:val="0"/>
      <w:divBdr>
        <w:top w:val="none" w:sz="0" w:space="0" w:color="auto"/>
        <w:left w:val="none" w:sz="0" w:space="0" w:color="auto"/>
        <w:bottom w:val="none" w:sz="0" w:space="0" w:color="auto"/>
        <w:right w:val="none" w:sz="0" w:space="0" w:color="auto"/>
      </w:divBdr>
      <w:divsChild>
        <w:div w:id="347223405">
          <w:marLeft w:val="0"/>
          <w:marRight w:val="0"/>
          <w:marTop w:val="0"/>
          <w:marBottom w:val="0"/>
          <w:divBdr>
            <w:top w:val="none" w:sz="0" w:space="0" w:color="auto"/>
            <w:left w:val="none" w:sz="0" w:space="0" w:color="auto"/>
            <w:bottom w:val="none" w:sz="0" w:space="0" w:color="auto"/>
            <w:right w:val="none" w:sz="0" w:space="0" w:color="auto"/>
          </w:divBdr>
          <w:divsChild>
            <w:div w:id="2103643461">
              <w:marLeft w:val="0"/>
              <w:marRight w:val="0"/>
              <w:marTop w:val="0"/>
              <w:marBottom w:val="0"/>
              <w:divBdr>
                <w:top w:val="none" w:sz="0" w:space="0" w:color="auto"/>
                <w:left w:val="none" w:sz="0" w:space="0" w:color="auto"/>
                <w:bottom w:val="none" w:sz="0" w:space="0" w:color="auto"/>
                <w:right w:val="none" w:sz="0" w:space="0" w:color="auto"/>
              </w:divBdr>
              <w:divsChild>
                <w:div w:id="1315989081">
                  <w:marLeft w:val="0"/>
                  <w:marRight w:val="0"/>
                  <w:marTop w:val="0"/>
                  <w:marBottom w:val="0"/>
                  <w:divBdr>
                    <w:top w:val="none" w:sz="0" w:space="0" w:color="auto"/>
                    <w:left w:val="none" w:sz="0" w:space="0" w:color="auto"/>
                    <w:bottom w:val="none" w:sz="0" w:space="0" w:color="auto"/>
                    <w:right w:val="none" w:sz="0" w:space="0" w:color="auto"/>
                  </w:divBdr>
                  <w:divsChild>
                    <w:div w:id="1062405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1984458">
      <w:bodyDiv w:val="1"/>
      <w:marLeft w:val="0"/>
      <w:marRight w:val="0"/>
      <w:marTop w:val="0"/>
      <w:marBottom w:val="0"/>
      <w:divBdr>
        <w:top w:val="none" w:sz="0" w:space="0" w:color="auto"/>
        <w:left w:val="none" w:sz="0" w:space="0" w:color="auto"/>
        <w:bottom w:val="none" w:sz="0" w:space="0" w:color="auto"/>
        <w:right w:val="none" w:sz="0" w:space="0" w:color="auto"/>
      </w:divBdr>
    </w:div>
    <w:div w:id="687297023">
      <w:bodyDiv w:val="1"/>
      <w:marLeft w:val="0"/>
      <w:marRight w:val="0"/>
      <w:marTop w:val="0"/>
      <w:marBottom w:val="0"/>
      <w:divBdr>
        <w:top w:val="none" w:sz="0" w:space="0" w:color="auto"/>
        <w:left w:val="none" w:sz="0" w:space="0" w:color="auto"/>
        <w:bottom w:val="none" w:sz="0" w:space="0" w:color="auto"/>
        <w:right w:val="none" w:sz="0" w:space="0" w:color="auto"/>
      </w:divBdr>
    </w:div>
    <w:div w:id="691490119">
      <w:bodyDiv w:val="1"/>
      <w:marLeft w:val="0"/>
      <w:marRight w:val="0"/>
      <w:marTop w:val="0"/>
      <w:marBottom w:val="0"/>
      <w:divBdr>
        <w:top w:val="none" w:sz="0" w:space="0" w:color="auto"/>
        <w:left w:val="none" w:sz="0" w:space="0" w:color="auto"/>
        <w:bottom w:val="none" w:sz="0" w:space="0" w:color="auto"/>
        <w:right w:val="none" w:sz="0" w:space="0" w:color="auto"/>
      </w:divBdr>
    </w:div>
    <w:div w:id="695235510">
      <w:bodyDiv w:val="1"/>
      <w:marLeft w:val="0"/>
      <w:marRight w:val="0"/>
      <w:marTop w:val="0"/>
      <w:marBottom w:val="0"/>
      <w:divBdr>
        <w:top w:val="none" w:sz="0" w:space="0" w:color="auto"/>
        <w:left w:val="none" w:sz="0" w:space="0" w:color="auto"/>
        <w:bottom w:val="none" w:sz="0" w:space="0" w:color="auto"/>
        <w:right w:val="none" w:sz="0" w:space="0" w:color="auto"/>
      </w:divBdr>
    </w:div>
    <w:div w:id="710308553">
      <w:bodyDiv w:val="1"/>
      <w:marLeft w:val="0"/>
      <w:marRight w:val="0"/>
      <w:marTop w:val="0"/>
      <w:marBottom w:val="0"/>
      <w:divBdr>
        <w:top w:val="none" w:sz="0" w:space="0" w:color="auto"/>
        <w:left w:val="none" w:sz="0" w:space="0" w:color="auto"/>
        <w:bottom w:val="none" w:sz="0" w:space="0" w:color="auto"/>
        <w:right w:val="none" w:sz="0" w:space="0" w:color="auto"/>
      </w:divBdr>
    </w:div>
    <w:div w:id="724331601">
      <w:bodyDiv w:val="1"/>
      <w:marLeft w:val="0"/>
      <w:marRight w:val="0"/>
      <w:marTop w:val="0"/>
      <w:marBottom w:val="0"/>
      <w:divBdr>
        <w:top w:val="none" w:sz="0" w:space="0" w:color="auto"/>
        <w:left w:val="none" w:sz="0" w:space="0" w:color="auto"/>
        <w:bottom w:val="none" w:sz="0" w:space="0" w:color="auto"/>
        <w:right w:val="none" w:sz="0" w:space="0" w:color="auto"/>
      </w:divBdr>
    </w:div>
    <w:div w:id="733813248">
      <w:bodyDiv w:val="1"/>
      <w:marLeft w:val="0"/>
      <w:marRight w:val="0"/>
      <w:marTop w:val="0"/>
      <w:marBottom w:val="0"/>
      <w:divBdr>
        <w:top w:val="none" w:sz="0" w:space="0" w:color="auto"/>
        <w:left w:val="none" w:sz="0" w:space="0" w:color="auto"/>
        <w:bottom w:val="none" w:sz="0" w:space="0" w:color="auto"/>
        <w:right w:val="none" w:sz="0" w:space="0" w:color="auto"/>
      </w:divBdr>
    </w:div>
    <w:div w:id="739407837">
      <w:bodyDiv w:val="1"/>
      <w:marLeft w:val="0"/>
      <w:marRight w:val="0"/>
      <w:marTop w:val="0"/>
      <w:marBottom w:val="0"/>
      <w:divBdr>
        <w:top w:val="none" w:sz="0" w:space="0" w:color="auto"/>
        <w:left w:val="none" w:sz="0" w:space="0" w:color="auto"/>
        <w:bottom w:val="none" w:sz="0" w:space="0" w:color="auto"/>
        <w:right w:val="none" w:sz="0" w:space="0" w:color="auto"/>
      </w:divBdr>
      <w:divsChild>
        <w:div w:id="32190607">
          <w:marLeft w:val="562"/>
          <w:marRight w:val="0"/>
          <w:marTop w:val="0"/>
          <w:marBottom w:val="0"/>
          <w:divBdr>
            <w:top w:val="none" w:sz="0" w:space="0" w:color="auto"/>
            <w:left w:val="none" w:sz="0" w:space="0" w:color="auto"/>
            <w:bottom w:val="none" w:sz="0" w:space="0" w:color="auto"/>
            <w:right w:val="none" w:sz="0" w:space="0" w:color="auto"/>
          </w:divBdr>
        </w:div>
        <w:div w:id="106506830">
          <w:marLeft w:val="288"/>
          <w:marRight w:val="0"/>
          <w:marTop w:val="0"/>
          <w:marBottom w:val="0"/>
          <w:divBdr>
            <w:top w:val="none" w:sz="0" w:space="0" w:color="auto"/>
            <w:left w:val="none" w:sz="0" w:space="0" w:color="auto"/>
            <w:bottom w:val="none" w:sz="0" w:space="0" w:color="auto"/>
            <w:right w:val="none" w:sz="0" w:space="0" w:color="auto"/>
          </w:divBdr>
        </w:div>
        <w:div w:id="231816841">
          <w:marLeft w:val="288"/>
          <w:marRight w:val="0"/>
          <w:marTop w:val="0"/>
          <w:marBottom w:val="0"/>
          <w:divBdr>
            <w:top w:val="none" w:sz="0" w:space="0" w:color="auto"/>
            <w:left w:val="none" w:sz="0" w:space="0" w:color="auto"/>
            <w:bottom w:val="none" w:sz="0" w:space="0" w:color="auto"/>
            <w:right w:val="none" w:sz="0" w:space="0" w:color="auto"/>
          </w:divBdr>
        </w:div>
        <w:div w:id="951018476">
          <w:marLeft w:val="562"/>
          <w:marRight w:val="0"/>
          <w:marTop w:val="0"/>
          <w:marBottom w:val="0"/>
          <w:divBdr>
            <w:top w:val="none" w:sz="0" w:space="0" w:color="auto"/>
            <w:left w:val="none" w:sz="0" w:space="0" w:color="auto"/>
            <w:bottom w:val="none" w:sz="0" w:space="0" w:color="auto"/>
            <w:right w:val="none" w:sz="0" w:space="0" w:color="auto"/>
          </w:divBdr>
        </w:div>
        <w:div w:id="1784033767">
          <w:marLeft w:val="562"/>
          <w:marRight w:val="0"/>
          <w:marTop w:val="0"/>
          <w:marBottom w:val="0"/>
          <w:divBdr>
            <w:top w:val="none" w:sz="0" w:space="0" w:color="auto"/>
            <w:left w:val="none" w:sz="0" w:space="0" w:color="auto"/>
            <w:bottom w:val="none" w:sz="0" w:space="0" w:color="auto"/>
            <w:right w:val="none" w:sz="0" w:space="0" w:color="auto"/>
          </w:divBdr>
        </w:div>
        <w:div w:id="1977759755">
          <w:marLeft w:val="288"/>
          <w:marRight w:val="0"/>
          <w:marTop w:val="0"/>
          <w:marBottom w:val="0"/>
          <w:divBdr>
            <w:top w:val="none" w:sz="0" w:space="0" w:color="auto"/>
            <w:left w:val="none" w:sz="0" w:space="0" w:color="auto"/>
            <w:bottom w:val="none" w:sz="0" w:space="0" w:color="auto"/>
            <w:right w:val="none" w:sz="0" w:space="0" w:color="auto"/>
          </w:divBdr>
        </w:div>
        <w:div w:id="2025204343">
          <w:marLeft w:val="288"/>
          <w:marRight w:val="0"/>
          <w:marTop w:val="0"/>
          <w:marBottom w:val="0"/>
          <w:divBdr>
            <w:top w:val="none" w:sz="0" w:space="0" w:color="auto"/>
            <w:left w:val="none" w:sz="0" w:space="0" w:color="auto"/>
            <w:bottom w:val="none" w:sz="0" w:space="0" w:color="auto"/>
            <w:right w:val="none" w:sz="0" w:space="0" w:color="auto"/>
          </w:divBdr>
        </w:div>
      </w:divsChild>
    </w:div>
    <w:div w:id="742722063">
      <w:bodyDiv w:val="1"/>
      <w:marLeft w:val="0"/>
      <w:marRight w:val="0"/>
      <w:marTop w:val="0"/>
      <w:marBottom w:val="0"/>
      <w:divBdr>
        <w:top w:val="none" w:sz="0" w:space="0" w:color="auto"/>
        <w:left w:val="none" w:sz="0" w:space="0" w:color="auto"/>
        <w:bottom w:val="none" w:sz="0" w:space="0" w:color="auto"/>
        <w:right w:val="none" w:sz="0" w:space="0" w:color="auto"/>
      </w:divBdr>
    </w:div>
    <w:div w:id="744454539">
      <w:bodyDiv w:val="1"/>
      <w:marLeft w:val="0"/>
      <w:marRight w:val="0"/>
      <w:marTop w:val="0"/>
      <w:marBottom w:val="0"/>
      <w:divBdr>
        <w:top w:val="none" w:sz="0" w:space="0" w:color="auto"/>
        <w:left w:val="none" w:sz="0" w:space="0" w:color="auto"/>
        <w:bottom w:val="none" w:sz="0" w:space="0" w:color="auto"/>
        <w:right w:val="none" w:sz="0" w:space="0" w:color="auto"/>
      </w:divBdr>
    </w:div>
    <w:div w:id="751006102">
      <w:bodyDiv w:val="1"/>
      <w:marLeft w:val="0"/>
      <w:marRight w:val="0"/>
      <w:marTop w:val="0"/>
      <w:marBottom w:val="0"/>
      <w:divBdr>
        <w:top w:val="none" w:sz="0" w:space="0" w:color="auto"/>
        <w:left w:val="none" w:sz="0" w:space="0" w:color="auto"/>
        <w:bottom w:val="none" w:sz="0" w:space="0" w:color="auto"/>
        <w:right w:val="none" w:sz="0" w:space="0" w:color="auto"/>
      </w:divBdr>
    </w:div>
    <w:div w:id="757943988">
      <w:bodyDiv w:val="1"/>
      <w:marLeft w:val="0"/>
      <w:marRight w:val="0"/>
      <w:marTop w:val="0"/>
      <w:marBottom w:val="0"/>
      <w:divBdr>
        <w:top w:val="none" w:sz="0" w:space="0" w:color="auto"/>
        <w:left w:val="none" w:sz="0" w:space="0" w:color="auto"/>
        <w:bottom w:val="none" w:sz="0" w:space="0" w:color="auto"/>
        <w:right w:val="none" w:sz="0" w:space="0" w:color="auto"/>
      </w:divBdr>
    </w:div>
    <w:div w:id="772017794">
      <w:bodyDiv w:val="1"/>
      <w:marLeft w:val="0"/>
      <w:marRight w:val="0"/>
      <w:marTop w:val="0"/>
      <w:marBottom w:val="0"/>
      <w:divBdr>
        <w:top w:val="none" w:sz="0" w:space="0" w:color="auto"/>
        <w:left w:val="none" w:sz="0" w:space="0" w:color="auto"/>
        <w:bottom w:val="none" w:sz="0" w:space="0" w:color="auto"/>
        <w:right w:val="none" w:sz="0" w:space="0" w:color="auto"/>
      </w:divBdr>
    </w:div>
    <w:div w:id="775515497">
      <w:bodyDiv w:val="1"/>
      <w:marLeft w:val="0"/>
      <w:marRight w:val="0"/>
      <w:marTop w:val="0"/>
      <w:marBottom w:val="0"/>
      <w:divBdr>
        <w:top w:val="none" w:sz="0" w:space="0" w:color="auto"/>
        <w:left w:val="none" w:sz="0" w:space="0" w:color="auto"/>
        <w:bottom w:val="none" w:sz="0" w:space="0" w:color="auto"/>
        <w:right w:val="none" w:sz="0" w:space="0" w:color="auto"/>
      </w:divBdr>
    </w:div>
    <w:div w:id="775639057">
      <w:bodyDiv w:val="1"/>
      <w:marLeft w:val="0"/>
      <w:marRight w:val="0"/>
      <w:marTop w:val="0"/>
      <w:marBottom w:val="0"/>
      <w:divBdr>
        <w:top w:val="none" w:sz="0" w:space="0" w:color="auto"/>
        <w:left w:val="none" w:sz="0" w:space="0" w:color="auto"/>
        <w:bottom w:val="none" w:sz="0" w:space="0" w:color="auto"/>
        <w:right w:val="none" w:sz="0" w:space="0" w:color="auto"/>
      </w:divBdr>
    </w:div>
    <w:div w:id="776221496">
      <w:bodyDiv w:val="1"/>
      <w:marLeft w:val="0"/>
      <w:marRight w:val="0"/>
      <w:marTop w:val="0"/>
      <w:marBottom w:val="0"/>
      <w:divBdr>
        <w:top w:val="none" w:sz="0" w:space="0" w:color="auto"/>
        <w:left w:val="none" w:sz="0" w:space="0" w:color="auto"/>
        <w:bottom w:val="none" w:sz="0" w:space="0" w:color="auto"/>
        <w:right w:val="none" w:sz="0" w:space="0" w:color="auto"/>
      </w:divBdr>
    </w:div>
    <w:div w:id="778066420">
      <w:bodyDiv w:val="1"/>
      <w:marLeft w:val="0"/>
      <w:marRight w:val="0"/>
      <w:marTop w:val="0"/>
      <w:marBottom w:val="0"/>
      <w:divBdr>
        <w:top w:val="none" w:sz="0" w:space="0" w:color="auto"/>
        <w:left w:val="none" w:sz="0" w:space="0" w:color="auto"/>
        <w:bottom w:val="none" w:sz="0" w:space="0" w:color="auto"/>
        <w:right w:val="none" w:sz="0" w:space="0" w:color="auto"/>
      </w:divBdr>
    </w:div>
    <w:div w:id="781144414">
      <w:bodyDiv w:val="1"/>
      <w:marLeft w:val="0"/>
      <w:marRight w:val="0"/>
      <w:marTop w:val="0"/>
      <w:marBottom w:val="0"/>
      <w:divBdr>
        <w:top w:val="none" w:sz="0" w:space="0" w:color="auto"/>
        <w:left w:val="none" w:sz="0" w:space="0" w:color="auto"/>
        <w:bottom w:val="none" w:sz="0" w:space="0" w:color="auto"/>
        <w:right w:val="none" w:sz="0" w:space="0" w:color="auto"/>
      </w:divBdr>
      <w:divsChild>
        <w:div w:id="1221478632">
          <w:marLeft w:val="230"/>
          <w:marRight w:val="0"/>
          <w:marTop w:val="0"/>
          <w:marBottom w:val="0"/>
          <w:divBdr>
            <w:top w:val="none" w:sz="0" w:space="0" w:color="auto"/>
            <w:left w:val="none" w:sz="0" w:space="0" w:color="auto"/>
            <w:bottom w:val="none" w:sz="0" w:space="0" w:color="auto"/>
            <w:right w:val="none" w:sz="0" w:space="0" w:color="auto"/>
          </w:divBdr>
        </w:div>
        <w:div w:id="2044481526">
          <w:marLeft w:val="230"/>
          <w:marRight w:val="0"/>
          <w:marTop w:val="0"/>
          <w:marBottom w:val="0"/>
          <w:divBdr>
            <w:top w:val="none" w:sz="0" w:space="0" w:color="auto"/>
            <w:left w:val="none" w:sz="0" w:space="0" w:color="auto"/>
            <w:bottom w:val="none" w:sz="0" w:space="0" w:color="auto"/>
            <w:right w:val="none" w:sz="0" w:space="0" w:color="auto"/>
          </w:divBdr>
        </w:div>
      </w:divsChild>
    </w:div>
    <w:div w:id="789400677">
      <w:bodyDiv w:val="1"/>
      <w:marLeft w:val="0"/>
      <w:marRight w:val="0"/>
      <w:marTop w:val="0"/>
      <w:marBottom w:val="0"/>
      <w:divBdr>
        <w:top w:val="none" w:sz="0" w:space="0" w:color="auto"/>
        <w:left w:val="none" w:sz="0" w:space="0" w:color="auto"/>
        <w:bottom w:val="none" w:sz="0" w:space="0" w:color="auto"/>
        <w:right w:val="none" w:sz="0" w:space="0" w:color="auto"/>
      </w:divBdr>
      <w:divsChild>
        <w:div w:id="1250584307">
          <w:marLeft w:val="230"/>
          <w:marRight w:val="0"/>
          <w:marTop w:val="0"/>
          <w:marBottom w:val="0"/>
          <w:divBdr>
            <w:top w:val="none" w:sz="0" w:space="0" w:color="auto"/>
            <w:left w:val="none" w:sz="0" w:space="0" w:color="auto"/>
            <w:bottom w:val="none" w:sz="0" w:space="0" w:color="auto"/>
            <w:right w:val="none" w:sz="0" w:space="0" w:color="auto"/>
          </w:divBdr>
        </w:div>
      </w:divsChild>
    </w:div>
    <w:div w:id="790630398">
      <w:bodyDiv w:val="1"/>
      <w:marLeft w:val="0"/>
      <w:marRight w:val="0"/>
      <w:marTop w:val="0"/>
      <w:marBottom w:val="0"/>
      <w:divBdr>
        <w:top w:val="none" w:sz="0" w:space="0" w:color="auto"/>
        <w:left w:val="none" w:sz="0" w:space="0" w:color="auto"/>
        <w:bottom w:val="none" w:sz="0" w:space="0" w:color="auto"/>
        <w:right w:val="none" w:sz="0" w:space="0" w:color="auto"/>
      </w:divBdr>
    </w:div>
    <w:div w:id="792091423">
      <w:bodyDiv w:val="1"/>
      <w:marLeft w:val="0"/>
      <w:marRight w:val="0"/>
      <w:marTop w:val="0"/>
      <w:marBottom w:val="0"/>
      <w:divBdr>
        <w:top w:val="none" w:sz="0" w:space="0" w:color="auto"/>
        <w:left w:val="none" w:sz="0" w:space="0" w:color="auto"/>
        <w:bottom w:val="none" w:sz="0" w:space="0" w:color="auto"/>
        <w:right w:val="none" w:sz="0" w:space="0" w:color="auto"/>
      </w:divBdr>
    </w:div>
    <w:div w:id="799569034">
      <w:bodyDiv w:val="1"/>
      <w:marLeft w:val="0"/>
      <w:marRight w:val="0"/>
      <w:marTop w:val="0"/>
      <w:marBottom w:val="0"/>
      <w:divBdr>
        <w:top w:val="none" w:sz="0" w:space="0" w:color="auto"/>
        <w:left w:val="none" w:sz="0" w:space="0" w:color="auto"/>
        <w:bottom w:val="none" w:sz="0" w:space="0" w:color="auto"/>
        <w:right w:val="none" w:sz="0" w:space="0" w:color="auto"/>
      </w:divBdr>
    </w:div>
    <w:div w:id="810555520">
      <w:bodyDiv w:val="1"/>
      <w:marLeft w:val="0"/>
      <w:marRight w:val="0"/>
      <w:marTop w:val="0"/>
      <w:marBottom w:val="0"/>
      <w:divBdr>
        <w:top w:val="none" w:sz="0" w:space="0" w:color="auto"/>
        <w:left w:val="none" w:sz="0" w:space="0" w:color="auto"/>
        <w:bottom w:val="none" w:sz="0" w:space="0" w:color="auto"/>
        <w:right w:val="none" w:sz="0" w:space="0" w:color="auto"/>
      </w:divBdr>
    </w:div>
    <w:div w:id="840320475">
      <w:bodyDiv w:val="1"/>
      <w:marLeft w:val="0"/>
      <w:marRight w:val="0"/>
      <w:marTop w:val="0"/>
      <w:marBottom w:val="0"/>
      <w:divBdr>
        <w:top w:val="none" w:sz="0" w:space="0" w:color="auto"/>
        <w:left w:val="none" w:sz="0" w:space="0" w:color="auto"/>
        <w:bottom w:val="none" w:sz="0" w:space="0" w:color="auto"/>
        <w:right w:val="none" w:sz="0" w:space="0" w:color="auto"/>
      </w:divBdr>
    </w:div>
    <w:div w:id="841043722">
      <w:bodyDiv w:val="1"/>
      <w:marLeft w:val="0"/>
      <w:marRight w:val="0"/>
      <w:marTop w:val="0"/>
      <w:marBottom w:val="0"/>
      <w:divBdr>
        <w:top w:val="none" w:sz="0" w:space="0" w:color="auto"/>
        <w:left w:val="none" w:sz="0" w:space="0" w:color="auto"/>
        <w:bottom w:val="none" w:sz="0" w:space="0" w:color="auto"/>
        <w:right w:val="none" w:sz="0" w:space="0" w:color="auto"/>
      </w:divBdr>
    </w:div>
    <w:div w:id="848760954">
      <w:bodyDiv w:val="1"/>
      <w:marLeft w:val="0"/>
      <w:marRight w:val="0"/>
      <w:marTop w:val="0"/>
      <w:marBottom w:val="0"/>
      <w:divBdr>
        <w:top w:val="none" w:sz="0" w:space="0" w:color="auto"/>
        <w:left w:val="none" w:sz="0" w:space="0" w:color="auto"/>
        <w:bottom w:val="none" w:sz="0" w:space="0" w:color="auto"/>
        <w:right w:val="none" w:sz="0" w:space="0" w:color="auto"/>
      </w:divBdr>
    </w:div>
    <w:div w:id="869144692">
      <w:bodyDiv w:val="1"/>
      <w:marLeft w:val="0"/>
      <w:marRight w:val="0"/>
      <w:marTop w:val="0"/>
      <w:marBottom w:val="0"/>
      <w:divBdr>
        <w:top w:val="none" w:sz="0" w:space="0" w:color="auto"/>
        <w:left w:val="none" w:sz="0" w:space="0" w:color="auto"/>
        <w:bottom w:val="none" w:sz="0" w:space="0" w:color="auto"/>
        <w:right w:val="none" w:sz="0" w:space="0" w:color="auto"/>
      </w:divBdr>
      <w:divsChild>
        <w:div w:id="189493280">
          <w:marLeft w:val="1397"/>
          <w:marRight w:val="0"/>
          <w:marTop w:val="67"/>
          <w:marBottom w:val="17"/>
          <w:divBdr>
            <w:top w:val="none" w:sz="0" w:space="0" w:color="auto"/>
            <w:left w:val="none" w:sz="0" w:space="0" w:color="auto"/>
            <w:bottom w:val="none" w:sz="0" w:space="0" w:color="auto"/>
            <w:right w:val="none" w:sz="0" w:space="0" w:color="auto"/>
          </w:divBdr>
        </w:div>
        <w:div w:id="228812142">
          <w:marLeft w:val="259"/>
          <w:marRight w:val="0"/>
          <w:marTop w:val="77"/>
          <w:marBottom w:val="19"/>
          <w:divBdr>
            <w:top w:val="none" w:sz="0" w:space="0" w:color="auto"/>
            <w:left w:val="none" w:sz="0" w:space="0" w:color="auto"/>
            <w:bottom w:val="none" w:sz="0" w:space="0" w:color="auto"/>
            <w:right w:val="none" w:sz="0" w:space="0" w:color="auto"/>
          </w:divBdr>
        </w:div>
        <w:div w:id="502739377">
          <w:marLeft w:val="259"/>
          <w:marRight w:val="0"/>
          <w:marTop w:val="77"/>
          <w:marBottom w:val="19"/>
          <w:divBdr>
            <w:top w:val="none" w:sz="0" w:space="0" w:color="auto"/>
            <w:left w:val="none" w:sz="0" w:space="0" w:color="auto"/>
            <w:bottom w:val="none" w:sz="0" w:space="0" w:color="auto"/>
            <w:right w:val="none" w:sz="0" w:space="0" w:color="auto"/>
          </w:divBdr>
        </w:div>
        <w:div w:id="558633456">
          <w:marLeft w:val="259"/>
          <w:marRight w:val="0"/>
          <w:marTop w:val="77"/>
          <w:marBottom w:val="19"/>
          <w:divBdr>
            <w:top w:val="none" w:sz="0" w:space="0" w:color="auto"/>
            <w:left w:val="none" w:sz="0" w:space="0" w:color="auto"/>
            <w:bottom w:val="none" w:sz="0" w:space="0" w:color="auto"/>
            <w:right w:val="none" w:sz="0" w:space="0" w:color="auto"/>
          </w:divBdr>
        </w:div>
        <w:div w:id="561406797">
          <w:marLeft w:val="1397"/>
          <w:marRight w:val="0"/>
          <w:marTop w:val="67"/>
          <w:marBottom w:val="17"/>
          <w:divBdr>
            <w:top w:val="none" w:sz="0" w:space="0" w:color="auto"/>
            <w:left w:val="none" w:sz="0" w:space="0" w:color="auto"/>
            <w:bottom w:val="none" w:sz="0" w:space="0" w:color="auto"/>
            <w:right w:val="none" w:sz="0" w:space="0" w:color="auto"/>
          </w:divBdr>
        </w:div>
        <w:div w:id="1086072322">
          <w:marLeft w:val="821"/>
          <w:marRight w:val="0"/>
          <w:marTop w:val="67"/>
          <w:marBottom w:val="17"/>
          <w:divBdr>
            <w:top w:val="none" w:sz="0" w:space="0" w:color="auto"/>
            <w:left w:val="none" w:sz="0" w:space="0" w:color="auto"/>
            <w:bottom w:val="none" w:sz="0" w:space="0" w:color="auto"/>
            <w:right w:val="none" w:sz="0" w:space="0" w:color="auto"/>
          </w:divBdr>
        </w:div>
        <w:div w:id="1244954459">
          <w:marLeft w:val="821"/>
          <w:marRight w:val="0"/>
          <w:marTop w:val="67"/>
          <w:marBottom w:val="17"/>
          <w:divBdr>
            <w:top w:val="none" w:sz="0" w:space="0" w:color="auto"/>
            <w:left w:val="none" w:sz="0" w:space="0" w:color="auto"/>
            <w:bottom w:val="none" w:sz="0" w:space="0" w:color="auto"/>
            <w:right w:val="none" w:sz="0" w:space="0" w:color="auto"/>
          </w:divBdr>
        </w:div>
        <w:div w:id="1361399054">
          <w:marLeft w:val="821"/>
          <w:marRight w:val="0"/>
          <w:marTop w:val="67"/>
          <w:marBottom w:val="17"/>
          <w:divBdr>
            <w:top w:val="none" w:sz="0" w:space="0" w:color="auto"/>
            <w:left w:val="none" w:sz="0" w:space="0" w:color="auto"/>
            <w:bottom w:val="none" w:sz="0" w:space="0" w:color="auto"/>
            <w:right w:val="none" w:sz="0" w:space="0" w:color="auto"/>
          </w:divBdr>
        </w:div>
        <w:div w:id="1504662043">
          <w:marLeft w:val="821"/>
          <w:marRight w:val="0"/>
          <w:marTop w:val="67"/>
          <w:marBottom w:val="17"/>
          <w:divBdr>
            <w:top w:val="none" w:sz="0" w:space="0" w:color="auto"/>
            <w:left w:val="none" w:sz="0" w:space="0" w:color="auto"/>
            <w:bottom w:val="none" w:sz="0" w:space="0" w:color="auto"/>
            <w:right w:val="none" w:sz="0" w:space="0" w:color="auto"/>
          </w:divBdr>
        </w:div>
        <w:div w:id="1719936472">
          <w:marLeft w:val="821"/>
          <w:marRight w:val="0"/>
          <w:marTop w:val="67"/>
          <w:marBottom w:val="17"/>
          <w:divBdr>
            <w:top w:val="none" w:sz="0" w:space="0" w:color="auto"/>
            <w:left w:val="none" w:sz="0" w:space="0" w:color="auto"/>
            <w:bottom w:val="none" w:sz="0" w:space="0" w:color="auto"/>
            <w:right w:val="none" w:sz="0" w:space="0" w:color="auto"/>
          </w:divBdr>
        </w:div>
        <w:div w:id="1756434298">
          <w:marLeft w:val="259"/>
          <w:marRight w:val="0"/>
          <w:marTop w:val="77"/>
          <w:marBottom w:val="19"/>
          <w:divBdr>
            <w:top w:val="none" w:sz="0" w:space="0" w:color="auto"/>
            <w:left w:val="none" w:sz="0" w:space="0" w:color="auto"/>
            <w:bottom w:val="none" w:sz="0" w:space="0" w:color="auto"/>
            <w:right w:val="none" w:sz="0" w:space="0" w:color="auto"/>
          </w:divBdr>
        </w:div>
        <w:div w:id="1834952765">
          <w:marLeft w:val="259"/>
          <w:marRight w:val="0"/>
          <w:marTop w:val="77"/>
          <w:marBottom w:val="19"/>
          <w:divBdr>
            <w:top w:val="none" w:sz="0" w:space="0" w:color="auto"/>
            <w:left w:val="none" w:sz="0" w:space="0" w:color="auto"/>
            <w:bottom w:val="none" w:sz="0" w:space="0" w:color="auto"/>
            <w:right w:val="none" w:sz="0" w:space="0" w:color="auto"/>
          </w:divBdr>
        </w:div>
        <w:div w:id="1864981094">
          <w:marLeft w:val="821"/>
          <w:marRight w:val="0"/>
          <w:marTop w:val="67"/>
          <w:marBottom w:val="17"/>
          <w:divBdr>
            <w:top w:val="none" w:sz="0" w:space="0" w:color="auto"/>
            <w:left w:val="none" w:sz="0" w:space="0" w:color="auto"/>
            <w:bottom w:val="none" w:sz="0" w:space="0" w:color="auto"/>
            <w:right w:val="none" w:sz="0" w:space="0" w:color="auto"/>
          </w:divBdr>
        </w:div>
        <w:div w:id="1952472014">
          <w:marLeft w:val="821"/>
          <w:marRight w:val="0"/>
          <w:marTop w:val="67"/>
          <w:marBottom w:val="17"/>
          <w:divBdr>
            <w:top w:val="none" w:sz="0" w:space="0" w:color="auto"/>
            <w:left w:val="none" w:sz="0" w:space="0" w:color="auto"/>
            <w:bottom w:val="none" w:sz="0" w:space="0" w:color="auto"/>
            <w:right w:val="none" w:sz="0" w:space="0" w:color="auto"/>
          </w:divBdr>
        </w:div>
        <w:div w:id="2006937461">
          <w:marLeft w:val="1397"/>
          <w:marRight w:val="0"/>
          <w:marTop w:val="67"/>
          <w:marBottom w:val="17"/>
          <w:divBdr>
            <w:top w:val="none" w:sz="0" w:space="0" w:color="auto"/>
            <w:left w:val="none" w:sz="0" w:space="0" w:color="auto"/>
            <w:bottom w:val="none" w:sz="0" w:space="0" w:color="auto"/>
            <w:right w:val="none" w:sz="0" w:space="0" w:color="auto"/>
          </w:divBdr>
        </w:div>
        <w:div w:id="2035837279">
          <w:marLeft w:val="259"/>
          <w:marRight w:val="0"/>
          <w:marTop w:val="77"/>
          <w:marBottom w:val="19"/>
          <w:divBdr>
            <w:top w:val="none" w:sz="0" w:space="0" w:color="auto"/>
            <w:left w:val="none" w:sz="0" w:space="0" w:color="auto"/>
            <w:bottom w:val="none" w:sz="0" w:space="0" w:color="auto"/>
            <w:right w:val="none" w:sz="0" w:space="0" w:color="auto"/>
          </w:divBdr>
        </w:div>
      </w:divsChild>
    </w:div>
    <w:div w:id="873806696">
      <w:bodyDiv w:val="1"/>
      <w:marLeft w:val="0"/>
      <w:marRight w:val="0"/>
      <w:marTop w:val="0"/>
      <w:marBottom w:val="0"/>
      <w:divBdr>
        <w:top w:val="none" w:sz="0" w:space="0" w:color="auto"/>
        <w:left w:val="none" w:sz="0" w:space="0" w:color="auto"/>
        <w:bottom w:val="none" w:sz="0" w:space="0" w:color="auto"/>
        <w:right w:val="none" w:sz="0" w:space="0" w:color="auto"/>
      </w:divBdr>
    </w:div>
    <w:div w:id="878198649">
      <w:bodyDiv w:val="1"/>
      <w:marLeft w:val="0"/>
      <w:marRight w:val="0"/>
      <w:marTop w:val="0"/>
      <w:marBottom w:val="0"/>
      <w:divBdr>
        <w:top w:val="none" w:sz="0" w:space="0" w:color="auto"/>
        <w:left w:val="none" w:sz="0" w:space="0" w:color="auto"/>
        <w:bottom w:val="none" w:sz="0" w:space="0" w:color="auto"/>
        <w:right w:val="none" w:sz="0" w:space="0" w:color="auto"/>
      </w:divBdr>
    </w:div>
    <w:div w:id="878665291">
      <w:bodyDiv w:val="1"/>
      <w:marLeft w:val="0"/>
      <w:marRight w:val="0"/>
      <w:marTop w:val="0"/>
      <w:marBottom w:val="0"/>
      <w:divBdr>
        <w:top w:val="none" w:sz="0" w:space="0" w:color="auto"/>
        <w:left w:val="none" w:sz="0" w:space="0" w:color="auto"/>
        <w:bottom w:val="none" w:sz="0" w:space="0" w:color="auto"/>
        <w:right w:val="none" w:sz="0" w:space="0" w:color="auto"/>
      </w:divBdr>
      <w:divsChild>
        <w:div w:id="1102266108">
          <w:marLeft w:val="288"/>
          <w:marRight w:val="0"/>
          <w:marTop w:val="0"/>
          <w:marBottom w:val="0"/>
          <w:divBdr>
            <w:top w:val="none" w:sz="0" w:space="0" w:color="auto"/>
            <w:left w:val="none" w:sz="0" w:space="0" w:color="auto"/>
            <w:bottom w:val="none" w:sz="0" w:space="0" w:color="auto"/>
            <w:right w:val="none" w:sz="0" w:space="0" w:color="auto"/>
          </w:divBdr>
        </w:div>
        <w:div w:id="1243567310">
          <w:marLeft w:val="288"/>
          <w:marRight w:val="0"/>
          <w:marTop w:val="0"/>
          <w:marBottom w:val="0"/>
          <w:divBdr>
            <w:top w:val="none" w:sz="0" w:space="0" w:color="auto"/>
            <w:left w:val="none" w:sz="0" w:space="0" w:color="auto"/>
            <w:bottom w:val="none" w:sz="0" w:space="0" w:color="auto"/>
            <w:right w:val="none" w:sz="0" w:space="0" w:color="auto"/>
          </w:divBdr>
        </w:div>
        <w:div w:id="1273396321">
          <w:marLeft w:val="288"/>
          <w:marRight w:val="0"/>
          <w:marTop w:val="0"/>
          <w:marBottom w:val="0"/>
          <w:divBdr>
            <w:top w:val="none" w:sz="0" w:space="0" w:color="auto"/>
            <w:left w:val="none" w:sz="0" w:space="0" w:color="auto"/>
            <w:bottom w:val="none" w:sz="0" w:space="0" w:color="auto"/>
            <w:right w:val="none" w:sz="0" w:space="0" w:color="auto"/>
          </w:divBdr>
        </w:div>
        <w:div w:id="1706785210">
          <w:marLeft w:val="288"/>
          <w:marRight w:val="0"/>
          <w:marTop w:val="0"/>
          <w:marBottom w:val="0"/>
          <w:divBdr>
            <w:top w:val="none" w:sz="0" w:space="0" w:color="auto"/>
            <w:left w:val="none" w:sz="0" w:space="0" w:color="auto"/>
            <w:bottom w:val="none" w:sz="0" w:space="0" w:color="auto"/>
            <w:right w:val="none" w:sz="0" w:space="0" w:color="auto"/>
          </w:divBdr>
        </w:div>
        <w:div w:id="2050452419">
          <w:marLeft w:val="288"/>
          <w:marRight w:val="0"/>
          <w:marTop w:val="0"/>
          <w:marBottom w:val="0"/>
          <w:divBdr>
            <w:top w:val="none" w:sz="0" w:space="0" w:color="auto"/>
            <w:left w:val="none" w:sz="0" w:space="0" w:color="auto"/>
            <w:bottom w:val="none" w:sz="0" w:space="0" w:color="auto"/>
            <w:right w:val="none" w:sz="0" w:space="0" w:color="auto"/>
          </w:divBdr>
        </w:div>
        <w:div w:id="2137218053">
          <w:marLeft w:val="288"/>
          <w:marRight w:val="0"/>
          <w:marTop w:val="0"/>
          <w:marBottom w:val="0"/>
          <w:divBdr>
            <w:top w:val="none" w:sz="0" w:space="0" w:color="auto"/>
            <w:left w:val="none" w:sz="0" w:space="0" w:color="auto"/>
            <w:bottom w:val="none" w:sz="0" w:space="0" w:color="auto"/>
            <w:right w:val="none" w:sz="0" w:space="0" w:color="auto"/>
          </w:divBdr>
        </w:div>
      </w:divsChild>
    </w:div>
    <w:div w:id="882326148">
      <w:bodyDiv w:val="1"/>
      <w:marLeft w:val="0"/>
      <w:marRight w:val="0"/>
      <w:marTop w:val="0"/>
      <w:marBottom w:val="0"/>
      <w:divBdr>
        <w:top w:val="none" w:sz="0" w:space="0" w:color="auto"/>
        <w:left w:val="none" w:sz="0" w:space="0" w:color="auto"/>
        <w:bottom w:val="none" w:sz="0" w:space="0" w:color="auto"/>
        <w:right w:val="none" w:sz="0" w:space="0" w:color="auto"/>
      </w:divBdr>
    </w:div>
    <w:div w:id="893737079">
      <w:bodyDiv w:val="1"/>
      <w:marLeft w:val="0"/>
      <w:marRight w:val="0"/>
      <w:marTop w:val="0"/>
      <w:marBottom w:val="0"/>
      <w:divBdr>
        <w:top w:val="none" w:sz="0" w:space="0" w:color="auto"/>
        <w:left w:val="none" w:sz="0" w:space="0" w:color="auto"/>
        <w:bottom w:val="none" w:sz="0" w:space="0" w:color="auto"/>
        <w:right w:val="none" w:sz="0" w:space="0" w:color="auto"/>
      </w:divBdr>
    </w:div>
    <w:div w:id="905917452">
      <w:bodyDiv w:val="1"/>
      <w:marLeft w:val="0"/>
      <w:marRight w:val="0"/>
      <w:marTop w:val="0"/>
      <w:marBottom w:val="0"/>
      <w:divBdr>
        <w:top w:val="none" w:sz="0" w:space="0" w:color="auto"/>
        <w:left w:val="none" w:sz="0" w:space="0" w:color="auto"/>
        <w:bottom w:val="none" w:sz="0" w:space="0" w:color="auto"/>
        <w:right w:val="none" w:sz="0" w:space="0" w:color="auto"/>
      </w:divBdr>
    </w:div>
    <w:div w:id="914557497">
      <w:bodyDiv w:val="1"/>
      <w:marLeft w:val="0"/>
      <w:marRight w:val="0"/>
      <w:marTop w:val="0"/>
      <w:marBottom w:val="0"/>
      <w:divBdr>
        <w:top w:val="none" w:sz="0" w:space="0" w:color="auto"/>
        <w:left w:val="none" w:sz="0" w:space="0" w:color="auto"/>
        <w:bottom w:val="none" w:sz="0" w:space="0" w:color="auto"/>
        <w:right w:val="none" w:sz="0" w:space="0" w:color="auto"/>
      </w:divBdr>
    </w:div>
    <w:div w:id="927885104">
      <w:bodyDiv w:val="1"/>
      <w:marLeft w:val="0"/>
      <w:marRight w:val="0"/>
      <w:marTop w:val="0"/>
      <w:marBottom w:val="0"/>
      <w:divBdr>
        <w:top w:val="none" w:sz="0" w:space="0" w:color="auto"/>
        <w:left w:val="none" w:sz="0" w:space="0" w:color="auto"/>
        <w:bottom w:val="none" w:sz="0" w:space="0" w:color="auto"/>
        <w:right w:val="none" w:sz="0" w:space="0" w:color="auto"/>
      </w:divBdr>
    </w:div>
    <w:div w:id="928776868">
      <w:bodyDiv w:val="1"/>
      <w:marLeft w:val="0"/>
      <w:marRight w:val="0"/>
      <w:marTop w:val="0"/>
      <w:marBottom w:val="0"/>
      <w:divBdr>
        <w:top w:val="none" w:sz="0" w:space="0" w:color="auto"/>
        <w:left w:val="none" w:sz="0" w:space="0" w:color="auto"/>
        <w:bottom w:val="none" w:sz="0" w:space="0" w:color="auto"/>
        <w:right w:val="none" w:sz="0" w:space="0" w:color="auto"/>
      </w:divBdr>
    </w:div>
    <w:div w:id="935670732">
      <w:bodyDiv w:val="1"/>
      <w:marLeft w:val="0"/>
      <w:marRight w:val="0"/>
      <w:marTop w:val="0"/>
      <w:marBottom w:val="0"/>
      <w:divBdr>
        <w:top w:val="none" w:sz="0" w:space="0" w:color="auto"/>
        <w:left w:val="none" w:sz="0" w:space="0" w:color="auto"/>
        <w:bottom w:val="none" w:sz="0" w:space="0" w:color="auto"/>
        <w:right w:val="none" w:sz="0" w:space="0" w:color="auto"/>
      </w:divBdr>
    </w:div>
    <w:div w:id="945191093">
      <w:bodyDiv w:val="1"/>
      <w:marLeft w:val="0"/>
      <w:marRight w:val="0"/>
      <w:marTop w:val="0"/>
      <w:marBottom w:val="0"/>
      <w:divBdr>
        <w:top w:val="none" w:sz="0" w:space="0" w:color="auto"/>
        <w:left w:val="none" w:sz="0" w:space="0" w:color="auto"/>
        <w:bottom w:val="none" w:sz="0" w:space="0" w:color="auto"/>
        <w:right w:val="none" w:sz="0" w:space="0" w:color="auto"/>
      </w:divBdr>
      <w:divsChild>
        <w:div w:id="1998995662">
          <w:marLeft w:val="0"/>
          <w:marRight w:val="0"/>
          <w:marTop w:val="0"/>
          <w:marBottom w:val="0"/>
          <w:divBdr>
            <w:top w:val="none" w:sz="0" w:space="0" w:color="auto"/>
            <w:left w:val="none" w:sz="0" w:space="0" w:color="auto"/>
            <w:bottom w:val="none" w:sz="0" w:space="0" w:color="auto"/>
            <w:right w:val="none" w:sz="0" w:space="0" w:color="auto"/>
          </w:divBdr>
          <w:divsChild>
            <w:div w:id="1157841858">
              <w:marLeft w:val="0"/>
              <w:marRight w:val="0"/>
              <w:marTop w:val="0"/>
              <w:marBottom w:val="0"/>
              <w:divBdr>
                <w:top w:val="none" w:sz="0" w:space="0" w:color="auto"/>
                <w:left w:val="none" w:sz="0" w:space="0" w:color="auto"/>
                <w:bottom w:val="none" w:sz="0" w:space="0" w:color="auto"/>
                <w:right w:val="none" w:sz="0" w:space="0" w:color="auto"/>
              </w:divBdr>
              <w:divsChild>
                <w:div w:id="1521625396">
                  <w:marLeft w:val="0"/>
                  <w:marRight w:val="0"/>
                  <w:marTop w:val="0"/>
                  <w:marBottom w:val="0"/>
                  <w:divBdr>
                    <w:top w:val="none" w:sz="0" w:space="0" w:color="auto"/>
                    <w:left w:val="none" w:sz="0" w:space="0" w:color="auto"/>
                    <w:bottom w:val="none" w:sz="0" w:space="0" w:color="auto"/>
                    <w:right w:val="none" w:sz="0" w:space="0" w:color="auto"/>
                  </w:divBdr>
                  <w:divsChild>
                    <w:div w:id="1084495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305659">
      <w:bodyDiv w:val="1"/>
      <w:marLeft w:val="0"/>
      <w:marRight w:val="0"/>
      <w:marTop w:val="0"/>
      <w:marBottom w:val="0"/>
      <w:divBdr>
        <w:top w:val="none" w:sz="0" w:space="0" w:color="auto"/>
        <w:left w:val="none" w:sz="0" w:space="0" w:color="auto"/>
        <w:bottom w:val="none" w:sz="0" w:space="0" w:color="auto"/>
        <w:right w:val="none" w:sz="0" w:space="0" w:color="auto"/>
      </w:divBdr>
    </w:div>
    <w:div w:id="956565335">
      <w:bodyDiv w:val="1"/>
      <w:marLeft w:val="0"/>
      <w:marRight w:val="0"/>
      <w:marTop w:val="0"/>
      <w:marBottom w:val="0"/>
      <w:divBdr>
        <w:top w:val="none" w:sz="0" w:space="0" w:color="auto"/>
        <w:left w:val="none" w:sz="0" w:space="0" w:color="auto"/>
        <w:bottom w:val="none" w:sz="0" w:space="0" w:color="auto"/>
        <w:right w:val="none" w:sz="0" w:space="0" w:color="auto"/>
      </w:divBdr>
      <w:divsChild>
        <w:div w:id="1149709093">
          <w:marLeft w:val="0"/>
          <w:marRight w:val="0"/>
          <w:marTop w:val="0"/>
          <w:marBottom w:val="0"/>
          <w:divBdr>
            <w:top w:val="none" w:sz="0" w:space="0" w:color="auto"/>
            <w:left w:val="none" w:sz="0" w:space="0" w:color="auto"/>
            <w:bottom w:val="none" w:sz="0" w:space="0" w:color="auto"/>
            <w:right w:val="none" w:sz="0" w:space="0" w:color="auto"/>
          </w:divBdr>
          <w:divsChild>
            <w:div w:id="1484809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575741">
      <w:bodyDiv w:val="1"/>
      <w:marLeft w:val="0"/>
      <w:marRight w:val="0"/>
      <w:marTop w:val="0"/>
      <w:marBottom w:val="0"/>
      <w:divBdr>
        <w:top w:val="none" w:sz="0" w:space="0" w:color="auto"/>
        <w:left w:val="none" w:sz="0" w:space="0" w:color="auto"/>
        <w:bottom w:val="none" w:sz="0" w:space="0" w:color="auto"/>
        <w:right w:val="none" w:sz="0" w:space="0" w:color="auto"/>
      </w:divBdr>
      <w:divsChild>
        <w:div w:id="2108428674">
          <w:marLeft w:val="245"/>
          <w:marRight w:val="0"/>
          <w:marTop w:val="0"/>
          <w:marBottom w:val="0"/>
          <w:divBdr>
            <w:top w:val="none" w:sz="0" w:space="0" w:color="auto"/>
            <w:left w:val="none" w:sz="0" w:space="0" w:color="auto"/>
            <w:bottom w:val="none" w:sz="0" w:space="0" w:color="auto"/>
            <w:right w:val="none" w:sz="0" w:space="0" w:color="auto"/>
          </w:divBdr>
        </w:div>
      </w:divsChild>
    </w:div>
    <w:div w:id="985354511">
      <w:bodyDiv w:val="1"/>
      <w:marLeft w:val="0"/>
      <w:marRight w:val="0"/>
      <w:marTop w:val="0"/>
      <w:marBottom w:val="0"/>
      <w:divBdr>
        <w:top w:val="none" w:sz="0" w:space="0" w:color="auto"/>
        <w:left w:val="none" w:sz="0" w:space="0" w:color="auto"/>
        <w:bottom w:val="none" w:sz="0" w:space="0" w:color="auto"/>
        <w:right w:val="none" w:sz="0" w:space="0" w:color="auto"/>
      </w:divBdr>
    </w:div>
    <w:div w:id="989138175">
      <w:bodyDiv w:val="1"/>
      <w:marLeft w:val="0"/>
      <w:marRight w:val="0"/>
      <w:marTop w:val="0"/>
      <w:marBottom w:val="0"/>
      <w:divBdr>
        <w:top w:val="none" w:sz="0" w:space="0" w:color="auto"/>
        <w:left w:val="none" w:sz="0" w:space="0" w:color="auto"/>
        <w:bottom w:val="none" w:sz="0" w:space="0" w:color="auto"/>
        <w:right w:val="none" w:sz="0" w:space="0" w:color="auto"/>
      </w:divBdr>
    </w:div>
    <w:div w:id="999314304">
      <w:bodyDiv w:val="1"/>
      <w:marLeft w:val="0"/>
      <w:marRight w:val="0"/>
      <w:marTop w:val="0"/>
      <w:marBottom w:val="0"/>
      <w:divBdr>
        <w:top w:val="none" w:sz="0" w:space="0" w:color="auto"/>
        <w:left w:val="none" w:sz="0" w:space="0" w:color="auto"/>
        <w:bottom w:val="none" w:sz="0" w:space="0" w:color="auto"/>
        <w:right w:val="none" w:sz="0" w:space="0" w:color="auto"/>
      </w:divBdr>
    </w:div>
    <w:div w:id="1002590990">
      <w:bodyDiv w:val="1"/>
      <w:marLeft w:val="0"/>
      <w:marRight w:val="0"/>
      <w:marTop w:val="0"/>
      <w:marBottom w:val="0"/>
      <w:divBdr>
        <w:top w:val="none" w:sz="0" w:space="0" w:color="auto"/>
        <w:left w:val="none" w:sz="0" w:space="0" w:color="auto"/>
        <w:bottom w:val="none" w:sz="0" w:space="0" w:color="auto"/>
        <w:right w:val="none" w:sz="0" w:space="0" w:color="auto"/>
      </w:divBdr>
    </w:div>
    <w:div w:id="1015963205">
      <w:bodyDiv w:val="1"/>
      <w:marLeft w:val="0"/>
      <w:marRight w:val="0"/>
      <w:marTop w:val="0"/>
      <w:marBottom w:val="0"/>
      <w:divBdr>
        <w:top w:val="none" w:sz="0" w:space="0" w:color="auto"/>
        <w:left w:val="none" w:sz="0" w:space="0" w:color="auto"/>
        <w:bottom w:val="none" w:sz="0" w:space="0" w:color="auto"/>
        <w:right w:val="none" w:sz="0" w:space="0" w:color="auto"/>
      </w:divBdr>
    </w:div>
    <w:div w:id="1022711194">
      <w:bodyDiv w:val="1"/>
      <w:marLeft w:val="0"/>
      <w:marRight w:val="0"/>
      <w:marTop w:val="0"/>
      <w:marBottom w:val="0"/>
      <w:divBdr>
        <w:top w:val="none" w:sz="0" w:space="0" w:color="auto"/>
        <w:left w:val="none" w:sz="0" w:space="0" w:color="auto"/>
        <w:bottom w:val="none" w:sz="0" w:space="0" w:color="auto"/>
        <w:right w:val="none" w:sz="0" w:space="0" w:color="auto"/>
      </w:divBdr>
    </w:div>
    <w:div w:id="1026521520">
      <w:bodyDiv w:val="1"/>
      <w:marLeft w:val="0"/>
      <w:marRight w:val="0"/>
      <w:marTop w:val="0"/>
      <w:marBottom w:val="0"/>
      <w:divBdr>
        <w:top w:val="none" w:sz="0" w:space="0" w:color="auto"/>
        <w:left w:val="none" w:sz="0" w:space="0" w:color="auto"/>
        <w:bottom w:val="none" w:sz="0" w:space="0" w:color="auto"/>
        <w:right w:val="none" w:sz="0" w:space="0" w:color="auto"/>
      </w:divBdr>
    </w:div>
    <w:div w:id="1026910081">
      <w:bodyDiv w:val="1"/>
      <w:marLeft w:val="0"/>
      <w:marRight w:val="0"/>
      <w:marTop w:val="0"/>
      <w:marBottom w:val="0"/>
      <w:divBdr>
        <w:top w:val="none" w:sz="0" w:space="0" w:color="auto"/>
        <w:left w:val="none" w:sz="0" w:space="0" w:color="auto"/>
        <w:bottom w:val="none" w:sz="0" w:space="0" w:color="auto"/>
        <w:right w:val="none" w:sz="0" w:space="0" w:color="auto"/>
      </w:divBdr>
      <w:divsChild>
        <w:div w:id="1191525922">
          <w:marLeft w:val="274"/>
          <w:marRight w:val="0"/>
          <w:marTop w:val="0"/>
          <w:marBottom w:val="0"/>
          <w:divBdr>
            <w:top w:val="none" w:sz="0" w:space="0" w:color="auto"/>
            <w:left w:val="none" w:sz="0" w:space="0" w:color="auto"/>
            <w:bottom w:val="none" w:sz="0" w:space="0" w:color="auto"/>
            <w:right w:val="none" w:sz="0" w:space="0" w:color="auto"/>
          </w:divBdr>
        </w:div>
      </w:divsChild>
    </w:div>
    <w:div w:id="1031220733">
      <w:bodyDiv w:val="1"/>
      <w:marLeft w:val="0"/>
      <w:marRight w:val="0"/>
      <w:marTop w:val="0"/>
      <w:marBottom w:val="0"/>
      <w:divBdr>
        <w:top w:val="none" w:sz="0" w:space="0" w:color="auto"/>
        <w:left w:val="none" w:sz="0" w:space="0" w:color="auto"/>
        <w:bottom w:val="none" w:sz="0" w:space="0" w:color="auto"/>
        <w:right w:val="none" w:sz="0" w:space="0" w:color="auto"/>
      </w:divBdr>
    </w:div>
    <w:div w:id="1033263419">
      <w:bodyDiv w:val="1"/>
      <w:marLeft w:val="0"/>
      <w:marRight w:val="0"/>
      <w:marTop w:val="0"/>
      <w:marBottom w:val="0"/>
      <w:divBdr>
        <w:top w:val="none" w:sz="0" w:space="0" w:color="auto"/>
        <w:left w:val="none" w:sz="0" w:space="0" w:color="auto"/>
        <w:bottom w:val="none" w:sz="0" w:space="0" w:color="auto"/>
        <w:right w:val="none" w:sz="0" w:space="0" w:color="auto"/>
      </w:divBdr>
      <w:divsChild>
        <w:div w:id="235823452">
          <w:marLeft w:val="274"/>
          <w:marRight w:val="0"/>
          <w:marTop w:val="0"/>
          <w:marBottom w:val="0"/>
          <w:divBdr>
            <w:top w:val="none" w:sz="0" w:space="0" w:color="auto"/>
            <w:left w:val="none" w:sz="0" w:space="0" w:color="auto"/>
            <w:bottom w:val="none" w:sz="0" w:space="0" w:color="auto"/>
            <w:right w:val="none" w:sz="0" w:space="0" w:color="auto"/>
          </w:divBdr>
        </w:div>
        <w:div w:id="715357054">
          <w:marLeft w:val="274"/>
          <w:marRight w:val="0"/>
          <w:marTop w:val="0"/>
          <w:marBottom w:val="0"/>
          <w:divBdr>
            <w:top w:val="none" w:sz="0" w:space="0" w:color="auto"/>
            <w:left w:val="none" w:sz="0" w:space="0" w:color="auto"/>
            <w:bottom w:val="none" w:sz="0" w:space="0" w:color="auto"/>
            <w:right w:val="none" w:sz="0" w:space="0" w:color="auto"/>
          </w:divBdr>
        </w:div>
      </w:divsChild>
    </w:div>
    <w:div w:id="1044645854">
      <w:bodyDiv w:val="1"/>
      <w:marLeft w:val="0"/>
      <w:marRight w:val="0"/>
      <w:marTop w:val="0"/>
      <w:marBottom w:val="0"/>
      <w:divBdr>
        <w:top w:val="none" w:sz="0" w:space="0" w:color="auto"/>
        <w:left w:val="none" w:sz="0" w:space="0" w:color="auto"/>
        <w:bottom w:val="none" w:sz="0" w:space="0" w:color="auto"/>
        <w:right w:val="none" w:sz="0" w:space="0" w:color="auto"/>
      </w:divBdr>
      <w:divsChild>
        <w:div w:id="7561044">
          <w:marLeft w:val="288"/>
          <w:marRight w:val="0"/>
          <w:marTop w:val="0"/>
          <w:marBottom w:val="0"/>
          <w:divBdr>
            <w:top w:val="none" w:sz="0" w:space="0" w:color="auto"/>
            <w:left w:val="none" w:sz="0" w:space="0" w:color="auto"/>
            <w:bottom w:val="none" w:sz="0" w:space="0" w:color="auto"/>
            <w:right w:val="none" w:sz="0" w:space="0" w:color="auto"/>
          </w:divBdr>
        </w:div>
        <w:div w:id="1335570892">
          <w:marLeft w:val="288"/>
          <w:marRight w:val="0"/>
          <w:marTop w:val="0"/>
          <w:marBottom w:val="0"/>
          <w:divBdr>
            <w:top w:val="none" w:sz="0" w:space="0" w:color="auto"/>
            <w:left w:val="none" w:sz="0" w:space="0" w:color="auto"/>
            <w:bottom w:val="none" w:sz="0" w:space="0" w:color="auto"/>
            <w:right w:val="none" w:sz="0" w:space="0" w:color="auto"/>
          </w:divBdr>
        </w:div>
      </w:divsChild>
    </w:div>
    <w:div w:id="1060902513">
      <w:bodyDiv w:val="1"/>
      <w:marLeft w:val="0"/>
      <w:marRight w:val="0"/>
      <w:marTop w:val="0"/>
      <w:marBottom w:val="0"/>
      <w:divBdr>
        <w:top w:val="none" w:sz="0" w:space="0" w:color="auto"/>
        <w:left w:val="none" w:sz="0" w:space="0" w:color="auto"/>
        <w:bottom w:val="none" w:sz="0" w:space="0" w:color="auto"/>
        <w:right w:val="none" w:sz="0" w:space="0" w:color="auto"/>
      </w:divBdr>
      <w:divsChild>
        <w:div w:id="71708307">
          <w:marLeft w:val="274"/>
          <w:marRight w:val="0"/>
          <w:marTop w:val="0"/>
          <w:marBottom w:val="60"/>
          <w:divBdr>
            <w:top w:val="none" w:sz="0" w:space="0" w:color="auto"/>
            <w:left w:val="none" w:sz="0" w:space="0" w:color="auto"/>
            <w:bottom w:val="none" w:sz="0" w:space="0" w:color="auto"/>
            <w:right w:val="none" w:sz="0" w:space="0" w:color="auto"/>
          </w:divBdr>
        </w:div>
        <w:div w:id="104348474">
          <w:marLeft w:val="994"/>
          <w:marRight w:val="0"/>
          <w:marTop w:val="0"/>
          <w:marBottom w:val="60"/>
          <w:divBdr>
            <w:top w:val="none" w:sz="0" w:space="0" w:color="auto"/>
            <w:left w:val="none" w:sz="0" w:space="0" w:color="auto"/>
            <w:bottom w:val="none" w:sz="0" w:space="0" w:color="auto"/>
            <w:right w:val="none" w:sz="0" w:space="0" w:color="auto"/>
          </w:divBdr>
        </w:div>
        <w:div w:id="262763095">
          <w:marLeft w:val="994"/>
          <w:marRight w:val="0"/>
          <w:marTop w:val="0"/>
          <w:marBottom w:val="60"/>
          <w:divBdr>
            <w:top w:val="none" w:sz="0" w:space="0" w:color="auto"/>
            <w:left w:val="none" w:sz="0" w:space="0" w:color="auto"/>
            <w:bottom w:val="none" w:sz="0" w:space="0" w:color="auto"/>
            <w:right w:val="none" w:sz="0" w:space="0" w:color="auto"/>
          </w:divBdr>
        </w:div>
        <w:div w:id="304698499">
          <w:marLeft w:val="994"/>
          <w:marRight w:val="0"/>
          <w:marTop w:val="0"/>
          <w:marBottom w:val="60"/>
          <w:divBdr>
            <w:top w:val="none" w:sz="0" w:space="0" w:color="auto"/>
            <w:left w:val="none" w:sz="0" w:space="0" w:color="auto"/>
            <w:bottom w:val="none" w:sz="0" w:space="0" w:color="auto"/>
            <w:right w:val="none" w:sz="0" w:space="0" w:color="auto"/>
          </w:divBdr>
        </w:div>
        <w:div w:id="467165831">
          <w:marLeft w:val="994"/>
          <w:marRight w:val="0"/>
          <w:marTop w:val="0"/>
          <w:marBottom w:val="60"/>
          <w:divBdr>
            <w:top w:val="none" w:sz="0" w:space="0" w:color="auto"/>
            <w:left w:val="none" w:sz="0" w:space="0" w:color="auto"/>
            <w:bottom w:val="none" w:sz="0" w:space="0" w:color="auto"/>
            <w:right w:val="none" w:sz="0" w:space="0" w:color="auto"/>
          </w:divBdr>
        </w:div>
        <w:div w:id="716004780">
          <w:marLeft w:val="994"/>
          <w:marRight w:val="0"/>
          <w:marTop w:val="0"/>
          <w:marBottom w:val="60"/>
          <w:divBdr>
            <w:top w:val="none" w:sz="0" w:space="0" w:color="auto"/>
            <w:left w:val="none" w:sz="0" w:space="0" w:color="auto"/>
            <w:bottom w:val="none" w:sz="0" w:space="0" w:color="auto"/>
            <w:right w:val="none" w:sz="0" w:space="0" w:color="auto"/>
          </w:divBdr>
        </w:div>
        <w:div w:id="726339200">
          <w:marLeft w:val="994"/>
          <w:marRight w:val="0"/>
          <w:marTop w:val="0"/>
          <w:marBottom w:val="60"/>
          <w:divBdr>
            <w:top w:val="none" w:sz="0" w:space="0" w:color="auto"/>
            <w:left w:val="none" w:sz="0" w:space="0" w:color="auto"/>
            <w:bottom w:val="none" w:sz="0" w:space="0" w:color="auto"/>
            <w:right w:val="none" w:sz="0" w:space="0" w:color="auto"/>
          </w:divBdr>
        </w:div>
        <w:div w:id="756050408">
          <w:marLeft w:val="994"/>
          <w:marRight w:val="0"/>
          <w:marTop w:val="0"/>
          <w:marBottom w:val="60"/>
          <w:divBdr>
            <w:top w:val="none" w:sz="0" w:space="0" w:color="auto"/>
            <w:left w:val="none" w:sz="0" w:space="0" w:color="auto"/>
            <w:bottom w:val="none" w:sz="0" w:space="0" w:color="auto"/>
            <w:right w:val="none" w:sz="0" w:space="0" w:color="auto"/>
          </w:divBdr>
        </w:div>
        <w:div w:id="841121702">
          <w:marLeft w:val="994"/>
          <w:marRight w:val="0"/>
          <w:marTop w:val="0"/>
          <w:marBottom w:val="60"/>
          <w:divBdr>
            <w:top w:val="none" w:sz="0" w:space="0" w:color="auto"/>
            <w:left w:val="none" w:sz="0" w:space="0" w:color="auto"/>
            <w:bottom w:val="none" w:sz="0" w:space="0" w:color="auto"/>
            <w:right w:val="none" w:sz="0" w:space="0" w:color="auto"/>
          </w:divBdr>
        </w:div>
        <w:div w:id="983192329">
          <w:marLeft w:val="994"/>
          <w:marRight w:val="0"/>
          <w:marTop w:val="0"/>
          <w:marBottom w:val="60"/>
          <w:divBdr>
            <w:top w:val="none" w:sz="0" w:space="0" w:color="auto"/>
            <w:left w:val="none" w:sz="0" w:space="0" w:color="auto"/>
            <w:bottom w:val="none" w:sz="0" w:space="0" w:color="auto"/>
            <w:right w:val="none" w:sz="0" w:space="0" w:color="auto"/>
          </w:divBdr>
        </w:div>
        <w:div w:id="1065253301">
          <w:marLeft w:val="994"/>
          <w:marRight w:val="0"/>
          <w:marTop w:val="0"/>
          <w:marBottom w:val="60"/>
          <w:divBdr>
            <w:top w:val="none" w:sz="0" w:space="0" w:color="auto"/>
            <w:left w:val="none" w:sz="0" w:space="0" w:color="auto"/>
            <w:bottom w:val="none" w:sz="0" w:space="0" w:color="auto"/>
            <w:right w:val="none" w:sz="0" w:space="0" w:color="auto"/>
          </w:divBdr>
        </w:div>
        <w:div w:id="1153136396">
          <w:marLeft w:val="274"/>
          <w:marRight w:val="0"/>
          <w:marTop w:val="0"/>
          <w:marBottom w:val="60"/>
          <w:divBdr>
            <w:top w:val="none" w:sz="0" w:space="0" w:color="auto"/>
            <w:left w:val="none" w:sz="0" w:space="0" w:color="auto"/>
            <w:bottom w:val="none" w:sz="0" w:space="0" w:color="auto"/>
            <w:right w:val="none" w:sz="0" w:space="0" w:color="auto"/>
          </w:divBdr>
        </w:div>
        <w:div w:id="1274090955">
          <w:marLeft w:val="994"/>
          <w:marRight w:val="0"/>
          <w:marTop w:val="0"/>
          <w:marBottom w:val="60"/>
          <w:divBdr>
            <w:top w:val="none" w:sz="0" w:space="0" w:color="auto"/>
            <w:left w:val="none" w:sz="0" w:space="0" w:color="auto"/>
            <w:bottom w:val="none" w:sz="0" w:space="0" w:color="auto"/>
            <w:right w:val="none" w:sz="0" w:space="0" w:color="auto"/>
          </w:divBdr>
        </w:div>
        <w:div w:id="1328092910">
          <w:marLeft w:val="994"/>
          <w:marRight w:val="0"/>
          <w:marTop w:val="0"/>
          <w:marBottom w:val="60"/>
          <w:divBdr>
            <w:top w:val="none" w:sz="0" w:space="0" w:color="auto"/>
            <w:left w:val="none" w:sz="0" w:space="0" w:color="auto"/>
            <w:bottom w:val="none" w:sz="0" w:space="0" w:color="auto"/>
            <w:right w:val="none" w:sz="0" w:space="0" w:color="auto"/>
          </w:divBdr>
        </w:div>
        <w:div w:id="1363479476">
          <w:marLeft w:val="994"/>
          <w:marRight w:val="0"/>
          <w:marTop w:val="0"/>
          <w:marBottom w:val="60"/>
          <w:divBdr>
            <w:top w:val="none" w:sz="0" w:space="0" w:color="auto"/>
            <w:left w:val="none" w:sz="0" w:space="0" w:color="auto"/>
            <w:bottom w:val="none" w:sz="0" w:space="0" w:color="auto"/>
            <w:right w:val="none" w:sz="0" w:space="0" w:color="auto"/>
          </w:divBdr>
        </w:div>
        <w:div w:id="1847328915">
          <w:marLeft w:val="274"/>
          <w:marRight w:val="0"/>
          <w:marTop w:val="0"/>
          <w:marBottom w:val="60"/>
          <w:divBdr>
            <w:top w:val="none" w:sz="0" w:space="0" w:color="auto"/>
            <w:left w:val="none" w:sz="0" w:space="0" w:color="auto"/>
            <w:bottom w:val="none" w:sz="0" w:space="0" w:color="auto"/>
            <w:right w:val="none" w:sz="0" w:space="0" w:color="auto"/>
          </w:divBdr>
        </w:div>
        <w:div w:id="1914123491">
          <w:marLeft w:val="994"/>
          <w:marRight w:val="0"/>
          <w:marTop w:val="0"/>
          <w:marBottom w:val="60"/>
          <w:divBdr>
            <w:top w:val="none" w:sz="0" w:space="0" w:color="auto"/>
            <w:left w:val="none" w:sz="0" w:space="0" w:color="auto"/>
            <w:bottom w:val="none" w:sz="0" w:space="0" w:color="auto"/>
            <w:right w:val="none" w:sz="0" w:space="0" w:color="auto"/>
          </w:divBdr>
        </w:div>
      </w:divsChild>
    </w:div>
    <w:div w:id="1102267553">
      <w:bodyDiv w:val="1"/>
      <w:marLeft w:val="0"/>
      <w:marRight w:val="0"/>
      <w:marTop w:val="0"/>
      <w:marBottom w:val="0"/>
      <w:divBdr>
        <w:top w:val="none" w:sz="0" w:space="0" w:color="auto"/>
        <w:left w:val="none" w:sz="0" w:space="0" w:color="auto"/>
        <w:bottom w:val="none" w:sz="0" w:space="0" w:color="auto"/>
        <w:right w:val="none" w:sz="0" w:space="0" w:color="auto"/>
      </w:divBdr>
      <w:divsChild>
        <w:div w:id="714163023">
          <w:marLeft w:val="245"/>
          <w:marRight w:val="0"/>
          <w:marTop w:val="0"/>
          <w:marBottom w:val="0"/>
          <w:divBdr>
            <w:top w:val="none" w:sz="0" w:space="0" w:color="auto"/>
            <w:left w:val="none" w:sz="0" w:space="0" w:color="auto"/>
            <w:bottom w:val="none" w:sz="0" w:space="0" w:color="auto"/>
            <w:right w:val="none" w:sz="0" w:space="0" w:color="auto"/>
          </w:divBdr>
        </w:div>
      </w:divsChild>
    </w:div>
    <w:div w:id="1115173139">
      <w:bodyDiv w:val="1"/>
      <w:marLeft w:val="0"/>
      <w:marRight w:val="0"/>
      <w:marTop w:val="0"/>
      <w:marBottom w:val="0"/>
      <w:divBdr>
        <w:top w:val="none" w:sz="0" w:space="0" w:color="auto"/>
        <w:left w:val="none" w:sz="0" w:space="0" w:color="auto"/>
        <w:bottom w:val="none" w:sz="0" w:space="0" w:color="auto"/>
        <w:right w:val="none" w:sz="0" w:space="0" w:color="auto"/>
      </w:divBdr>
    </w:div>
    <w:div w:id="1120612155">
      <w:bodyDiv w:val="1"/>
      <w:marLeft w:val="0"/>
      <w:marRight w:val="0"/>
      <w:marTop w:val="0"/>
      <w:marBottom w:val="0"/>
      <w:divBdr>
        <w:top w:val="none" w:sz="0" w:space="0" w:color="auto"/>
        <w:left w:val="none" w:sz="0" w:space="0" w:color="auto"/>
        <w:bottom w:val="none" w:sz="0" w:space="0" w:color="auto"/>
        <w:right w:val="none" w:sz="0" w:space="0" w:color="auto"/>
      </w:divBdr>
    </w:div>
    <w:div w:id="1121534850">
      <w:bodyDiv w:val="1"/>
      <w:marLeft w:val="0"/>
      <w:marRight w:val="0"/>
      <w:marTop w:val="0"/>
      <w:marBottom w:val="0"/>
      <w:divBdr>
        <w:top w:val="none" w:sz="0" w:space="0" w:color="auto"/>
        <w:left w:val="none" w:sz="0" w:space="0" w:color="auto"/>
        <w:bottom w:val="none" w:sz="0" w:space="0" w:color="auto"/>
        <w:right w:val="none" w:sz="0" w:space="0" w:color="auto"/>
      </w:divBdr>
    </w:div>
    <w:div w:id="1134954749">
      <w:bodyDiv w:val="1"/>
      <w:marLeft w:val="0"/>
      <w:marRight w:val="0"/>
      <w:marTop w:val="0"/>
      <w:marBottom w:val="0"/>
      <w:divBdr>
        <w:top w:val="none" w:sz="0" w:space="0" w:color="auto"/>
        <w:left w:val="none" w:sz="0" w:space="0" w:color="auto"/>
        <w:bottom w:val="none" w:sz="0" w:space="0" w:color="auto"/>
        <w:right w:val="none" w:sz="0" w:space="0" w:color="auto"/>
      </w:divBdr>
      <w:divsChild>
        <w:div w:id="152911870">
          <w:marLeft w:val="288"/>
          <w:marRight w:val="0"/>
          <w:marTop w:val="0"/>
          <w:marBottom w:val="0"/>
          <w:divBdr>
            <w:top w:val="none" w:sz="0" w:space="0" w:color="auto"/>
            <w:left w:val="none" w:sz="0" w:space="0" w:color="auto"/>
            <w:bottom w:val="none" w:sz="0" w:space="0" w:color="auto"/>
            <w:right w:val="none" w:sz="0" w:space="0" w:color="auto"/>
          </w:divBdr>
        </w:div>
        <w:div w:id="432868261">
          <w:marLeft w:val="288"/>
          <w:marRight w:val="0"/>
          <w:marTop w:val="0"/>
          <w:marBottom w:val="0"/>
          <w:divBdr>
            <w:top w:val="none" w:sz="0" w:space="0" w:color="auto"/>
            <w:left w:val="none" w:sz="0" w:space="0" w:color="auto"/>
            <w:bottom w:val="none" w:sz="0" w:space="0" w:color="auto"/>
            <w:right w:val="none" w:sz="0" w:space="0" w:color="auto"/>
          </w:divBdr>
        </w:div>
      </w:divsChild>
    </w:div>
    <w:div w:id="1160124260">
      <w:bodyDiv w:val="1"/>
      <w:marLeft w:val="0"/>
      <w:marRight w:val="0"/>
      <w:marTop w:val="0"/>
      <w:marBottom w:val="0"/>
      <w:divBdr>
        <w:top w:val="none" w:sz="0" w:space="0" w:color="auto"/>
        <w:left w:val="none" w:sz="0" w:space="0" w:color="auto"/>
        <w:bottom w:val="none" w:sz="0" w:space="0" w:color="auto"/>
        <w:right w:val="none" w:sz="0" w:space="0" w:color="auto"/>
      </w:divBdr>
    </w:div>
    <w:div w:id="1161118727">
      <w:bodyDiv w:val="1"/>
      <w:marLeft w:val="0"/>
      <w:marRight w:val="0"/>
      <w:marTop w:val="0"/>
      <w:marBottom w:val="0"/>
      <w:divBdr>
        <w:top w:val="none" w:sz="0" w:space="0" w:color="auto"/>
        <w:left w:val="none" w:sz="0" w:space="0" w:color="auto"/>
        <w:bottom w:val="none" w:sz="0" w:space="0" w:color="auto"/>
        <w:right w:val="none" w:sz="0" w:space="0" w:color="auto"/>
      </w:divBdr>
    </w:div>
    <w:div w:id="1165392059">
      <w:bodyDiv w:val="1"/>
      <w:marLeft w:val="0"/>
      <w:marRight w:val="0"/>
      <w:marTop w:val="0"/>
      <w:marBottom w:val="0"/>
      <w:divBdr>
        <w:top w:val="none" w:sz="0" w:space="0" w:color="auto"/>
        <w:left w:val="none" w:sz="0" w:space="0" w:color="auto"/>
        <w:bottom w:val="none" w:sz="0" w:space="0" w:color="auto"/>
        <w:right w:val="none" w:sz="0" w:space="0" w:color="auto"/>
      </w:divBdr>
    </w:div>
    <w:div w:id="1181966448">
      <w:bodyDiv w:val="1"/>
      <w:marLeft w:val="0"/>
      <w:marRight w:val="0"/>
      <w:marTop w:val="0"/>
      <w:marBottom w:val="0"/>
      <w:divBdr>
        <w:top w:val="none" w:sz="0" w:space="0" w:color="auto"/>
        <w:left w:val="none" w:sz="0" w:space="0" w:color="auto"/>
        <w:bottom w:val="none" w:sz="0" w:space="0" w:color="auto"/>
        <w:right w:val="none" w:sz="0" w:space="0" w:color="auto"/>
      </w:divBdr>
    </w:div>
    <w:div w:id="1189567238">
      <w:bodyDiv w:val="1"/>
      <w:marLeft w:val="0"/>
      <w:marRight w:val="0"/>
      <w:marTop w:val="0"/>
      <w:marBottom w:val="0"/>
      <w:divBdr>
        <w:top w:val="none" w:sz="0" w:space="0" w:color="auto"/>
        <w:left w:val="none" w:sz="0" w:space="0" w:color="auto"/>
        <w:bottom w:val="none" w:sz="0" w:space="0" w:color="auto"/>
        <w:right w:val="none" w:sz="0" w:space="0" w:color="auto"/>
      </w:divBdr>
    </w:div>
    <w:div w:id="1190412272">
      <w:bodyDiv w:val="1"/>
      <w:marLeft w:val="0"/>
      <w:marRight w:val="0"/>
      <w:marTop w:val="0"/>
      <w:marBottom w:val="0"/>
      <w:divBdr>
        <w:top w:val="none" w:sz="0" w:space="0" w:color="auto"/>
        <w:left w:val="none" w:sz="0" w:space="0" w:color="auto"/>
        <w:bottom w:val="none" w:sz="0" w:space="0" w:color="auto"/>
        <w:right w:val="none" w:sz="0" w:space="0" w:color="auto"/>
      </w:divBdr>
    </w:div>
    <w:div w:id="1208491707">
      <w:bodyDiv w:val="1"/>
      <w:marLeft w:val="0"/>
      <w:marRight w:val="0"/>
      <w:marTop w:val="0"/>
      <w:marBottom w:val="0"/>
      <w:divBdr>
        <w:top w:val="none" w:sz="0" w:space="0" w:color="auto"/>
        <w:left w:val="none" w:sz="0" w:space="0" w:color="auto"/>
        <w:bottom w:val="none" w:sz="0" w:space="0" w:color="auto"/>
        <w:right w:val="none" w:sz="0" w:space="0" w:color="auto"/>
      </w:divBdr>
      <w:divsChild>
        <w:div w:id="268464426">
          <w:marLeft w:val="288"/>
          <w:marRight w:val="0"/>
          <w:marTop w:val="0"/>
          <w:marBottom w:val="0"/>
          <w:divBdr>
            <w:top w:val="none" w:sz="0" w:space="0" w:color="auto"/>
            <w:left w:val="none" w:sz="0" w:space="0" w:color="auto"/>
            <w:bottom w:val="none" w:sz="0" w:space="0" w:color="auto"/>
            <w:right w:val="none" w:sz="0" w:space="0" w:color="auto"/>
          </w:divBdr>
        </w:div>
        <w:div w:id="751008834">
          <w:marLeft w:val="288"/>
          <w:marRight w:val="0"/>
          <w:marTop w:val="0"/>
          <w:marBottom w:val="0"/>
          <w:divBdr>
            <w:top w:val="none" w:sz="0" w:space="0" w:color="auto"/>
            <w:left w:val="none" w:sz="0" w:space="0" w:color="auto"/>
            <w:bottom w:val="none" w:sz="0" w:space="0" w:color="auto"/>
            <w:right w:val="none" w:sz="0" w:space="0" w:color="auto"/>
          </w:divBdr>
        </w:div>
        <w:div w:id="1867602128">
          <w:marLeft w:val="288"/>
          <w:marRight w:val="0"/>
          <w:marTop w:val="0"/>
          <w:marBottom w:val="0"/>
          <w:divBdr>
            <w:top w:val="none" w:sz="0" w:space="0" w:color="auto"/>
            <w:left w:val="none" w:sz="0" w:space="0" w:color="auto"/>
            <w:bottom w:val="none" w:sz="0" w:space="0" w:color="auto"/>
            <w:right w:val="none" w:sz="0" w:space="0" w:color="auto"/>
          </w:divBdr>
        </w:div>
      </w:divsChild>
    </w:div>
    <w:div w:id="1209608382">
      <w:bodyDiv w:val="1"/>
      <w:marLeft w:val="0"/>
      <w:marRight w:val="0"/>
      <w:marTop w:val="0"/>
      <w:marBottom w:val="0"/>
      <w:divBdr>
        <w:top w:val="none" w:sz="0" w:space="0" w:color="auto"/>
        <w:left w:val="none" w:sz="0" w:space="0" w:color="auto"/>
        <w:bottom w:val="none" w:sz="0" w:space="0" w:color="auto"/>
        <w:right w:val="none" w:sz="0" w:space="0" w:color="auto"/>
      </w:divBdr>
      <w:divsChild>
        <w:div w:id="823005785">
          <w:marLeft w:val="288"/>
          <w:marRight w:val="0"/>
          <w:marTop w:val="0"/>
          <w:marBottom w:val="0"/>
          <w:divBdr>
            <w:top w:val="none" w:sz="0" w:space="0" w:color="auto"/>
            <w:left w:val="none" w:sz="0" w:space="0" w:color="auto"/>
            <w:bottom w:val="none" w:sz="0" w:space="0" w:color="auto"/>
            <w:right w:val="none" w:sz="0" w:space="0" w:color="auto"/>
          </w:divBdr>
        </w:div>
        <w:div w:id="1112166317">
          <w:marLeft w:val="288"/>
          <w:marRight w:val="0"/>
          <w:marTop w:val="0"/>
          <w:marBottom w:val="0"/>
          <w:divBdr>
            <w:top w:val="none" w:sz="0" w:space="0" w:color="auto"/>
            <w:left w:val="none" w:sz="0" w:space="0" w:color="auto"/>
            <w:bottom w:val="none" w:sz="0" w:space="0" w:color="auto"/>
            <w:right w:val="none" w:sz="0" w:space="0" w:color="auto"/>
          </w:divBdr>
        </w:div>
        <w:div w:id="1351835790">
          <w:marLeft w:val="288"/>
          <w:marRight w:val="0"/>
          <w:marTop w:val="0"/>
          <w:marBottom w:val="0"/>
          <w:divBdr>
            <w:top w:val="none" w:sz="0" w:space="0" w:color="auto"/>
            <w:left w:val="none" w:sz="0" w:space="0" w:color="auto"/>
            <w:bottom w:val="none" w:sz="0" w:space="0" w:color="auto"/>
            <w:right w:val="none" w:sz="0" w:space="0" w:color="auto"/>
          </w:divBdr>
        </w:div>
        <w:div w:id="1569148395">
          <w:marLeft w:val="288"/>
          <w:marRight w:val="0"/>
          <w:marTop w:val="0"/>
          <w:marBottom w:val="0"/>
          <w:divBdr>
            <w:top w:val="none" w:sz="0" w:space="0" w:color="auto"/>
            <w:left w:val="none" w:sz="0" w:space="0" w:color="auto"/>
            <w:bottom w:val="none" w:sz="0" w:space="0" w:color="auto"/>
            <w:right w:val="none" w:sz="0" w:space="0" w:color="auto"/>
          </w:divBdr>
        </w:div>
      </w:divsChild>
    </w:div>
    <w:div w:id="1223055802">
      <w:bodyDiv w:val="1"/>
      <w:marLeft w:val="0"/>
      <w:marRight w:val="0"/>
      <w:marTop w:val="0"/>
      <w:marBottom w:val="0"/>
      <w:divBdr>
        <w:top w:val="none" w:sz="0" w:space="0" w:color="auto"/>
        <w:left w:val="none" w:sz="0" w:space="0" w:color="auto"/>
        <w:bottom w:val="none" w:sz="0" w:space="0" w:color="auto"/>
        <w:right w:val="none" w:sz="0" w:space="0" w:color="auto"/>
      </w:divBdr>
    </w:div>
    <w:div w:id="1223057167">
      <w:bodyDiv w:val="1"/>
      <w:marLeft w:val="0"/>
      <w:marRight w:val="0"/>
      <w:marTop w:val="0"/>
      <w:marBottom w:val="0"/>
      <w:divBdr>
        <w:top w:val="none" w:sz="0" w:space="0" w:color="auto"/>
        <w:left w:val="none" w:sz="0" w:space="0" w:color="auto"/>
        <w:bottom w:val="none" w:sz="0" w:space="0" w:color="auto"/>
        <w:right w:val="none" w:sz="0" w:space="0" w:color="auto"/>
      </w:divBdr>
    </w:div>
    <w:div w:id="1225799090">
      <w:bodyDiv w:val="1"/>
      <w:marLeft w:val="0"/>
      <w:marRight w:val="0"/>
      <w:marTop w:val="0"/>
      <w:marBottom w:val="0"/>
      <w:divBdr>
        <w:top w:val="none" w:sz="0" w:space="0" w:color="auto"/>
        <w:left w:val="none" w:sz="0" w:space="0" w:color="auto"/>
        <w:bottom w:val="none" w:sz="0" w:space="0" w:color="auto"/>
        <w:right w:val="none" w:sz="0" w:space="0" w:color="auto"/>
      </w:divBdr>
    </w:div>
    <w:div w:id="1239362247">
      <w:bodyDiv w:val="1"/>
      <w:marLeft w:val="0"/>
      <w:marRight w:val="0"/>
      <w:marTop w:val="0"/>
      <w:marBottom w:val="0"/>
      <w:divBdr>
        <w:top w:val="none" w:sz="0" w:space="0" w:color="auto"/>
        <w:left w:val="none" w:sz="0" w:space="0" w:color="auto"/>
        <w:bottom w:val="none" w:sz="0" w:space="0" w:color="auto"/>
        <w:right w:val="none" w:sz="0" w:space="0" w:color="auto"/>
      </w:divBdr>
    </w:div>
    <w:div w:id="1242788221">
      <w:bodyDiv w:val="1"/>
      <w:marLeft w:val="0"/>
      <w:marRight w:val="0"/>
      <w:marTop w:val="0"/>
      <w:marBottom w:val="0"/>
      <w:divBdr>
        <w:top w:val="none" w:sz="0" w:space="0" w:color="auto"/>
        <w:left w:val="none" w:sz="0" w:space="0" w:color="auto"/>
        <w:bottom w:val="none" w:sz="0" w:space="0" w:color="auto"/>
        <w:right w:val="none" w:sz="0" w:space="0" w:color="auto"/>
      </w:divBdr>
    </w:div>
    <w:div w:id="1276525595">
      <w:bodyDiv w:val="1"/>
      <w:marLeft w:val="0"/>
      <w:marRight w:val="0"/>
      <w:marTop w:val="0"/>
      <w:marBottom w:val="0"/>
      <w:divBdr>
        <w:top w:val="none" w:sz="0" w:space="0" w:color="auto"/>
        <w:left w:val="none" w:sz="0" w:space="0" w:color="auto"/>
        <w:bottom w:val="none" w:sz="0" w:space="0" w:color="auto"/>
        <w:right w:val="none" w:sz="0" w:space="0" w:color="auto"/>
      </w:divBdr>
      <w:divsChild>
        <w:div w:id="157691175">
          <w:marLeft w:val="562"/>
          <w:marRight w:val="0"/>
          <w:marTop w:val="0"/>
          <w:marBottom w:val="0"/>
          <w:divBdr>
            <w:top w:val="none" w:sz="0" w:space="0" w:color="auto"/>
            <w:left w:val="none" w:sz="0" w:space="0" w:color="auto"/>
            <w:bottom w:val="none" w:sz="0" w:space="0" w:color="auto"/>
            <w:right w:val="none" w:sz="0" w:space="0" w:color="auto"/>
          </w:divBdr>
        </w:div>
      </w:divsChild>
    </w:div>
    <w:div w:id="1281035744">
      <w:bodyDiv w:val="1"/>
      <w:marLeft w:val="0"/>
      <w:marRight w:val="0"/>
      <w:marTop w:val="0"/>
      <w:marBottom w:val="0"/>
      <w:divBdr>
        <w:top w:val="none" w:sz="0" w:space="0" w:color="auto"/>
        <w:left w:val="none" w:sz="0" w:space="0" w:color="auto"/>
        <w:bottom w:val="none" w:sz="0" w:space="0" w:color="auto"/>
        <w:right w:val="none" w:sz="0" w:space="0" w:color="auto"/>
      </w:divBdr>
    </w:div>
    <w:div w:id="1298802706">
      <w:bodyDiv w:val="1"/>
      <w:marLeft w:val="0"/>
      <w:marRight w:val="0"/>
      <w:marTop w:val="0"/>
      <w:marBottom w:val="0"/>
      <w:divBdr>
        <w:top w:val="none" w:sz="0" w:space="0" w:color="auto"/>
        <w:left w:val="none" w:sz="0" w:space="0" w:color="auto"/>
        <w:bottom w:val="none" w:sz="0" w:space="0" w:color="auto"/>
        <w:right w:val="none" w:sz="0" w:space="0" w:color="auto"/>
      </w:divBdr>
    </w:div>
    <w:div w:id="1332368741">
      <w:bodyDiv w:val="1"/>
      <w:marLeft w:val="0"/>
      <w:marRight w:val="0"/>
      <w:marTop w:val="0"/>
      <w:marBottom w:val="0"/>
      <w:divBdr>
        <w:top w:val="none" w:sz="0" w:space="0" w:color="auto"/>
        <w:left w:val="none" w:sz="0" w:space="0" w:color="auto"/>
        <w:bottom w:val="none" w:sz="0" w:space="0" w:color="auto"/>
        <w:right w:val="none" w:sz="0" w:space="0" w:color="auto"/>
      </w:divBdr>
      <w:divsChild>
        <w:div w:id="910427722">
          <w:marLeft w:val="230"/>
          <w:marRight w:val="0"/>
          <w:marTop w:val="0"/>
          <w:marBottom w:val="0"/>
          <w:divBdr>
            <w:top w:val="none" w:sz="0" w:space="0" w:color="auto"/>
            <w:left w:val="none" w:sz="0" w:space="0" w:color="auto"/>
            <w:bottom w:val="none" w:sz="0" w:space="0" w:color="auto"/>
            <w:right w:val="none" w:sz="0" w:space="0" w:color="auto"/>
          </w:divBdr>
        </w:div>
        <w:div w:id="1493062069">
          <w:marLeft w:val="230"/>
          <w:marRight w:val="0"/>
          <w:marTop w:val="0"/>
          <w:marBottom w:val="0"/>
          <w:divBdr>
            <w:top w:val="none" w:sz="0" w:space="0" w:color="auto"/>
            <w:left w:val="none" w:sz="0" w:space="0" w:color="auto"/>
            <w:bottom w:val="none" w:sz="0" w:space="0" w:color="auto"/>
            <w:right w:val="none" w:sz="0" w:space="0" w:color="auto"/>
          </w:divBdr>
        </w:div>
      </w:divsChild>
    </w:div>
    <w:div w:id="1334064055">
      <w:bodyDiv w:val="1"/>
      <w:marLeft w:val="0"/>
      <w:marRight w:val="0"/>
      <w:marTop w:val="0"/>
      <w:marBottom w:val="0"/>
      <w:divBdr>
        <w:top w:val="none" w:sz="0" w:space="0" w:color="auto"/>
        <w:left w:val="none" w:sz="0" w:space="0" w:color="auto"/>
        <w:bottom w:val="none" w:sz="0" w:space="0" w:color="auto"/>
        <w:right w:val="none" w:sz="0" w:space="0" w:color="auto"/>
      </w:divBdr>
    </w:div>
    <w:div w:id="1339504986">
      <w:bodyDiv w:val="1"/>
      <w:marLeft w:val="0"/>
      <w:marRight w:val="0"/>
      <w:marTop w:val="0"/>
      <w:marBottom w:val="0"/>
      <w:divBdr>
        <w:top w:val="none" w:sz="0" w:space="0" w:color="auto"/>
        <w:left w:val="none" w:sz="0" w:space="0" w:color="auto"/>
        <w:bottom w:val="none" w:sz="0" w:space="0" w:color="auto"/>
        <w:right w:val="none" w:sz="0" w:space="0" w:color="auto"/>
      </w:divBdr>
      <w:divsChild>
        <w:div w:id="1119253361">
          <w:marLeft w:val="230"/>
          <w:marRight w:val="0"/>
          <w:marTop w:val="0"/>
          <w:marBottom w:val="0"/>
          <w:divBdr>
            <w:top w:val="none" w:sz="0" w:space="0" w:color="auto"/>
            <w:left w:val="none" w:sz="0" w:space="0" w:color="auto"/>
            <w:bottom w:val="none" w:sz="0" w:space="0" w:color="auto"/>
            <w:right w:val="none" w:sz="0" w:space="0" w:color="auto"/>
          </w:divBdr>
        </w:div>
      </w:divsChild>
    </w:div>
    <w:div w:id="1366325129">
      <w:bodyDiv w:val="1"/>
      <w:marLeft w:val="0"/>
      <w:marRight w:val="0"/>
      <w:marTop w:val="0"/>
      <w:marBottom w:val="0"/>
      <w:divBdr>
        <w:top w:val="none" w:sz="0" w:space="0" w:color="auto"/>
        <w:left w:val="none" w:sz="0" w:space="0" w:color="auto"/>
        <w:bottom w:val="none" w:sz="0" w:space="0" w:color="auto"/>
        <w:right w:val="none" w:sz="0" w:space="0" w:color="auto"/>
      </w:divBdr>
      <w:divsChild>
        <w:div w:id="1380666345">
          <w:marLeft w:val="274"/>
          <w:marRight w:val="0"/>
          <w:marTop w:val="0"/>
          <w:marBottom w:val="0"/>
          <w:divBdr>
            <w:top w:val="none" w:sz="0" w:space="0" w:color="auto"/>
            <w:left w:val="none" w:sz="0" w:space="0" w:color="auto"/>
            <w:bottom w:val="none" w:sz="0" w:space="0" w:color="auto"/>
            <w:right w:val="none" w:sz="0" w:space="0" w:color="auto"/>
          </w:divBdr>
        </w:div>
      </w:divsChild>
    </w:div>
    <w:div w:id="1366565662">
      <w:bodyDiv w:val="1"/>
      <w:marLeft w:val="0"/>
      <w:marRight w:val="0"/>
      <w:marTop w:val="0"/>
      <w:marBottom w:val="0"/>
      <w:divBdr>
        <w:top w:val="none" w:sz="0" w:space="0" w:color="auto"/>
        <w:left w:val="none" w:sz="0" w:space="0" w:color="auto"/>
        <w:bottom w:val="none" w:sz="0" w:space="0" w:color="auto"/>
        <w:right w:val="none" w:sz="0" w:space="0" w:color="auto"/>
      </w:divBdr>
    </w:div>
    <w:div w:id="1369183395">
      <w:bodyDiv w:val="1"/>
      <w:marLeft w:val="0"/>
      <w:marRight w:val="0"/>
      <w:marTop w:val="0"/>
      <w:marBottom w:val="0"/>
      <w:divBdr>
        <w:top w:val="none" w:sz="0" w:space="0" w:color="auto"/>
        <w:left w:val="none" w:sz="0" w:space="0" w:color="auto"/>
        <w:bottom w:val="none" w:sz="0" w:space="0" w:color="auto"/>
        <w:right w:val="none" w:sz="0" w:space="0" w:color="auto"/>
      </w:divBdr>
    </w:div>
    <w:div w:id="1393234052">
      <w:bodyDiv w:val="1"/>
      <w:marLeft w:val="0"/>
      <w:marRight w:val="0"/>
      <w:marTop w:val="0"/>
      <w:marBottom w:val="0"/>
      <w:divBdr>
        <w:top w:val="none" w:sz="0" w:space="0" w:color="auto"/>
        <w:left w:val="none" w:sz="0" w:space="0" w:color="auto"/>
        <w:bottom w:val="none" w:sz="0" w:space="0" w:color="auto"/>
        <w:right w:val="none" w:sz="0" w:space="0" w:color="auto"/>
      </w:divBdr>
    </w:div>
    <w:div w:id="1417704068">
      <w:bodyDiv w:val="1"/>
      <w:marLeft w:val="0"/>
      <w:marRight w:val="0"/>
      <w:marTop w:val="0"/>
      <w:marBottom w:val="0"/>
      <w:divBdr>
        <w:top w:val="none" w:sz="0" w:space="0" w:color="auto"/>
        <w:left w:val="none" w:sz="0" w:space="0" w:color="auto"/>
        <w:bottom w:val="none" w:sz="0" w:space="0" w:color="auto"/>
        <w:right w:val="none" w:sz="0" w:space="0" w:color="auto"/>
      </w:divBdr>
      <w:divsChild>
        <w:div w:id="127941762">
          <w:marLeft w:val="0"/>
          <w:marRight w:val="0"/>
          <w:marTop w:val="0"/>
          <w:marBottom w:val="0"/>
          <w:divBdr>
            <w:top w:val="none" w:sz="0" w:space="0" w:color="auto"/>
            <w:left w:val="none" w:sz="0" w:space="0" w:color="auto"/>
            <w:bottom w:val="none" w:sz="0" w:space="0" w:color="auto"/>
            <w:right w:val="none" w:sz="0" w:space="0" w:color="auto"/>
          </w:divBdr>
          <w:divsChild>
            <w:div w:id="323096253">
              <w:marLeft w:val="0"/>
              <w:marRight w:val="0"/>
              <w:marTop w:val="0"/>
              <w:marBottom w:val="0"/>
              <w:divBdr>
                <w:top w:val="none" w:sz="0" w:space="0" w:color="auto"/>
                <w:left w:val="none" w:sz="0" w:space="0" w:color="auto"/>
                <w:bottom w:val="none" w:sz="0" w:space="0" w:color="auto"/>
                <w:right w:val="none" w:sz="0" w:space="0" w:color="auto"/>
              </w:divBdr>
              <w:divsChild>
                <w:div w:id="909193300">
                  <w:marLeft w:val="0"/>
                  <w:marRight w:val="0"/>
                  <w:marTop w:val="0"/>
                  <w:marBottom w:val="0"/>
                  <w:divBdr>
                    <w:top w:val="none" w:sz="0" w:space="0" w:color="auto"/>
                    <w:left w:val="none" w:sz="0" w:space="0" w:color="auto"/>
                    <w:bottom w:val="none" w:sz="0" w:space="0" w:color="auto"/>
                    <w:right w:val="none" w:sz="0" w:space="0" w:color="auto"/>
                  </w:divBdr>
                  <w:divsChild>
                    <w:div w:id="1094135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2679936">
      <w:bodyDiv w:val="1"/>
      <w:marLeft w:val="0"/>
      <w:marRight w:val="0"/>
      <w:marTop w:val="0"/>
      <w:marBottom w:val="0"/>
      <w:divBdr>
        <w:top w:val="none" w:sz="0" w:space="0" w:color="auto"/>
        <w:left w:val="none" w:sz="0" w:space="0" w:color="auto"/>
        <w:bottom w:val="none" w:sz="0" w:space="0" w:color="auto"/>
        <w:right w:val="none" w:sz="0" w:space="0" w:color="auto"/>
      </w:divBdr>
    </w:div>
    <w:div w:id="1424915751">
      <w:bodyDiv w:val="1"/>
      <w:marLeft w:val="0"/>
      <w:marRight w:val="0"/>
      <w:marTop w:val="0"/>
      <w:marBottom w:val="0"/>
      <w:divBdr>
        <w:top w:val="none" w:sz="0" w:space="0" w:color="auto"/>
        <w:left w:val="none" w:sz="0" w:space="0" w:color="auto"/>
        <w:bottom w:val="none" w:sz="0" w:space="0" w:color="auto"/>
        <w:right w:val="none" w:sz="0" w:space="0" w:color="auto"/>
      </w:divBdr>
    </w:div>
    <w:div w:id="1438407540">
      <w:bodyDiv w:val="1"/>
      <w:marLeft w:val="0"/>
      <w:marRight w:val="0"/>
      <w:marTop w:val="0"/>
      <w:marBottom w:val="0"/>
      <w:divBdr>
        <w:top w:val="none" w:sz="0" w:space="0" w:color="auto"/>
        <w:left w:val="none" w:sz="0" w:space="0" w:color="auto"/>
        <w:bottom w:val="none" w:sz="0" w:space="0" w:color="auto"/>
        <w:right w:val="none" w:sz="0" w:space="0" w:color="auto"/>
      </w:divBdr>
      <w:divsChild>
        <w:div w:id="158427943">
          <w:marLeft w:val="446"/>
          <w:marRight w:val="0"/>
          <w:marTop w:val="0"/>
          <w:marBottom w:val="0"/>
          <w:divBdr>
            <w:top w:val="none" w:sz="0" w:space="0" w:color="auto"/>
            <w:left w:val="none" w:sz="0" w:space="0" w:color="auto"/>
            <w:bottom w:val="none" w:sz="0" w:space="0" w:color="auto"/>
            <w:right w:val="none" w:sz="0" w:space="0" w:color="auto"/>
          </w:divBdr>
        </w:div>
      </w:divsChild>
    </w:div>
    <w:div w:id="1455632405">
      <w:bodyDiv w:val="1"/>
      <w:marLeft w:val="0"/>
      <w:marRight w:val="0"/>
      <w:marTop w:val="0"/>
      <w:marBottom w:val="0"/>
      <w:divBdr>
        <w:top w:val="none" w:sz="0" w:space="0" w:color="auto"/>
        <w:left w:val="none" w:sz="0" w:space="0" w:color="auto"/>
        <w:bottom w:val="none" w:sz="0" w:space="0" w:color="auto"/>
        <w:right w:val="none" w:sz="0" w:space="0" w:color="auto"/>
      </w:divBdr>
    </w:div>
    <w:div w:id="1460296645">
      <w:bodyDiv w:val="1"/>
      <w:marLeft w:val="0"/>
      <w:marRight w:val="0"/>
      <w:marTop w:val="0"/>
      <w:marBottom w:val="0"/>
      <w:divBdr>
        <w:top w:val="none" w:sz="0" w:space="0" w:color="auto"/>
        <w:left w:val="none" w:sz="0" w:space="0" w:color="auto"/>
        <w:bottom w:val="none" w:sz="0" w:space="0" w:color="auto"/>
        <w:right w:val="none" w:sz="0" w:space="0" w:color="auto"/>
      </w:divBdr>
    </w:div>
    <w:div w:id="1464886035">
      <w:bodyDiv w:val="1"/>
      <w:marLeft w:val="0"/>
      <w:marRight w:val="0"/>
      <w:marTop w:val="0"/>
      <w:marBottom w:val="0"/>
      <w:divBdr>
        <w:top w:val="none" w:sz="0" w:space="0" w:color="auto"/>
        <w:left w:val="none" w:sz="0" w:space="0" w:color="auto"/>
        <w:bottom w:val="none" w:sz="0" w:space="0" w:color="auto"/>
        <w:right w:val="none" w:sz="0" w:space="0" w:color="auto"/>
      </w:divBdr>
    </w:div>
    <w:div w:id="1465780888">
      <w:bodyDiv w:val="1"/>
      <w:marLeft w:val="0"/>
      <w:marRight w:val="0"/>
      <w:marTop w:val="0"/>
      <w:marBottom w:val="0"/>
      <w:divBdr>
        <w:top w:val="none" w:sz="0" w:space="0" w:color="auto"/>
        <w:left w:val="none" w:sz="0" w:space="0" w:color="auto"/>
        <w:bottom w:val="none" w:sz="0" w:space="0" w:color="auto"/>
        <w:right w:val="none" w:sz="0" w:space="0" w:color="auto"/>
      </w:divBdr>
    </w:div>
    <w:div w:id="1469515934">
      <w:bodyDiv w:val="1"/>
      <w:marLeft w:val="0"/>
      <w:marRight w:val="0"/>
      <w:marTop w:val="0"/>
      <w:marBottom w:val="0"/>
      <w:divBdr>
        <w:top w:val="none" w:sz="0" w:space="0" w:color="auto"/>
        <w:left w:val="none" w:sz="0" w:space="0" w:color="auto"/>
        <w:bottom w:val="none" w:sz="0" w:space="0" w:color="auto"/>
        <w:right w:val="none" w:sz="0" w:space="0" w:color="auto"/>
      </w:divBdr>
    </w:div>
    <w:div w:id="1472089165">
      <w:bodyDiv w:val="1"/>
      <w:marLeft w:val="0"/>
      <w:marRight w:val="0"/>
      <w:marTop w:val="0"/>
      <w:marBottom w:val="0"/>
      <w:divBdr>
        <w:top w:val="none" w:sz="0" w:space="0" w:color="auto"/>
        <w:left w:val="none" w:sz="0" w:space="0" w:color="auto"/>
        <w:bottom w:val="none" w:sz="0" w:space="0" w:color="auto"/>
        <w:right w:val="none" w:sz="0" w:space="0" w:color="auto"/>
      </w:divBdr>
    </w:div>
    <w:div w:id="1473981943">
      <w:bodyDiv w:val="1"/>
      <w:marLeft w:val="0"/>
      <w:marRight w:val="0"/>
      <w:marTop w:val="0"/>
      <w:marBottom w:val="0"/>
      <w:divBdr>
        <w:top w:val="none" w:sz="0" w:space="0" w:color="auto"/>
        <w:left w:val="none" w:sz="0" w:space="0" w:color="auto"/>
        <w:bottom w:val="none" w:sz="0" w:space="0" w:color="auto"/>
        <w:right w:val="none" w:sz="0" w:space="0" w:color="auto"/>
      </w:divBdr>
    </w:div>
    <w:div w:id="1477643382">
      <w:bodyDiv w:val="1"/>
      <w:marLeft w:val="0"/>
      <w:marRight w:val="0"/>
      <w:marTop w:val="0"/>
      <w:marBottom w:val="0"/>
      <w:divBdr>
        <w:top w:val="none" w:sz="0" w:space="0" w:color="auto"/>
        <w:left w:val="none" w:sz="0" w:space="0" w:color="auto"/>
        <w:bottom w:val="none" w:sz="0" w:space="0" w:color="auto"/>
        <w:right w:val="none" w:sz="0" w:space="0" w:color="auto"/>
      </w:divBdr>
    </w:div>
    <w:div w:id="1486315372">
      <w:bodyDiv w:val="1"/>
      <w:marLeft w:val="0"/>
      <w:marRight w:val="0"/>
      <w:marTop w:val="0"/>
      <w:marBottom w:val="0"/>
      <w:divBdr>
        <w:top w:val="none" w:sz="0" w:space="0" w:color="auto"/>
        <w:left w:val="none" w:sz="0" w:space="0" w:color="auto"/>
        <w:bottom w:val="none" w:sz="0" w:space="0" w:color="auto"/>
        <w:right w:val="none" w:sz="0" w:space="0" w:color="auto"/>
      </w:divBdr>
    </w:div>
    <w:div w:id="1488205341">
      <w:bodyDiv w:val="1"/>
      <w:marLeft w:val="0"/>
      <w:marRight w:val="0"/>
      <w:marTop w:val="0"/>
      <w:marBottom w:val="0"/>
      <w:divBdr>
        <w:top w:val="none" w:sz="0" w:space="0" w:color="auto"/>
        <w:left w:val="none" w:sz="0" w:space="0" w:color="auto"/>
        <w:bottom w:val="none" w:sz="0" w:space="0" w:color="auto"/>
        <w:right w:val="none" w:sz="0" w:space="0" w:color="auto"/>
      </w:divBdr>
      <w:divsChild>
        <w:div w:id="327439765">
          <w:marLeft w:val="288"/>
          <w:marRight w:val="0"/>
          <w:marTop w:val="0"/>
          <w:marBottom w:val="0"/>
          <w:divBdr>
            <w:top w:val="none" w:sz="0" w:space="0" w:color="auto"/>
            <w:left w:val="none" w:sz="0" w:space="0" w:color="auto"/>
            <w:bottom w:val="none" w:sz="0" w:space="0" w:color="auto"/>
            <w:right w:val="none" w:sz="0" w:space="0" w:color="auto"/>
          </w:divBdr>
        </w:div>
        <w:div w:id="1330524660">
          <w:marLeft w:val="288"/>
          <w:marRight w:val="0"/>
          <w:marTop w:val="0"/>
          <w:marBottom w:val="0"/>
          <w:divBdr>
            <w:top w:val="none" w:sz="0" w:space="0" w:color="auto"/>
            <w:left w:val="none" w:sz="0" w:space="0" w:color="auto"/>
            <w:bottom w:val="none" w:sz="0" w:space="0" w:color="auto"/>
            <w:right w:val="none" w:sz="0" w:space="0" w:color="auto"/>
          </w:divBdr>
        </w:div>
        <w:div w:id="1371686215">
          <w:marLeft w:val="288"/>
          <w:marRight w:val="0"/>
          <w:marTop w:val="0"/>
          <w:marBottom w:val="0"/>
          <w:divBdr>
            <w:top w:val="none" w:sz="0" w:space="0" w:color="auto"/>
            <w:left w:val="none" w:sz="0" w:space="0" w:color="auto"/>
            <w:bottom w:val="none" w:sz="0" w:space="0" w:color="auto"/>
            <w:right w:val="none" w:sz="0" w:space="0" w:color="auto"/>
          </w:divBdr>
        </w:div>
        <w:div w:id="1383406096">
          <w:marLeft w:val="288"/>
          <w:marRight w:val="0"/>
          <w:marTop w:val="0"/>
          <w:marBottom w:val="0"/>
          <w:divBdr>
            <w:top w:val="none" w:sz="0" w:space="0" w:color="auto"/>
            <w:left w:val="none" w:sz="0" w:space="0" w:color="auto"/>
            <w:bottom w:val="none" w:sz="0" w:space="0" w:color="auto"/>
            <w:right w:val="none" w:sz="0" w:space="0" w:color="auto"/>
          </w:divBdr>
        </w:div>
        <w:div w:id="1455639629">
          <w:marLeft w:val="288"/>
          <w:marRight w:val="0"/>
          <w:marTop w:val="0"/>
          <w:marBottom w:val="0"/>
          <w:divBdr>
            <w:top w:val="none" w:sz="0" w:space="0" w:color="auto"/>
            <w:left w:val="none" w:sz="0" w:space="0" w:color="auto"/>
            <w:bottom w:val="none" w:sz="0" w:space="0" w:color="auto"/>
            <w:right w:val="none" w:sz="0" w:space="0" w:color="auto"/>
          </w:divBdr>
        </w:div>
        <w:div w:id="1566918444">
          <w:marLeft w:val="288"/>
          <w:marRight w:val="0"/>
          <w:marTop w:val="0"/>
          <w:marBottom w:val="0"/>
          <w:divBdr>
            <w:top w:val="none" w:sz="0" w:space="0" w:color="auto"/>
            <w:left w:val="none" w:sz="0" w:space="0" w:color="auto"/>
            <w:bottom w:val="none" w:sz="0" w:space="0" w:color="auto"/>
            <w:right w:val="none" w:sz="0" w:space="0" w:color="auto"/>
          </w:divBdr>
        </w:div>
        <w:div w:id="1592540236">
          <w:marLeft w:val="288"/>
          <w:marRight w:val="0"/>
          <w:marTop w:val="0"/>
          <w:marBottom w:val="0"/>
          <w:divBdr>
            <w:top w:val="none" w:sz="0" w:space="0" w:color="auto"/>
            <w:left w:val="none" w:sz="0" w:space="0" w:color="auto"/>
            <w:bottom w:val="none" w:sz="0" w:space="0" w:color="auto"/>
            <w:right w:val="none" w:sz="0" w:space="0" w:color="auto"/>
          </w:divBdr>
        </w:div>
        <w:div w:id="1850102489">
          <w:marLeft w:val="288"/>
          <w:marRight w:val="0"/>
          <w:marTop w:val="0"/>
          <w:marBottom w:val="0"/>
          <w:divBdr>
            <w:top w:val="none" w:sz="0" w:space="0" w:color="auto"/>
            <w:left w:val="none" w:sz="0" w:space="0" w:color="auto"/>
            <w:bottom w:val="none" w:sz="0" w:space="0" w:color="auto"/>
            <w:right w:val="none" w:sz="0" w:space="0" w:color="auto"/>
          </w:divBdr>
        </w:div>
        <w:div w:id="1935044991">
          <w:marLeft w:val="288"/>
          <w:marRight w:val="0"/>
          <w:marTop w:val="0"/>
          <w:marBottom w:val="0"/>
          <w:divBdr>
            <w:top w:val="none" w:sz="0" w:space="0" w:color="auto"/>
            <w:left w:val="none" w:sz="0" w:space="0" w:color="auto"/>
            <w:bottom w:val="none" w:sz="0" w:space="0" w:color="auto"/>
            <w:right w:val="none" w:sz="0" w:space="0" w:color="auto"/>
          </w:divBdr>
        </w:div>
        <w:div w:id="2092503754">
          <w:marLeft w:val="288"/>
          <w:marRight w:val="0"/>
          <w:marTop w:val="0"/>
          <w:marBottom w:val="0"/>
          <w:divBdr>
            <w:top w:val="none" w:sz="0" w:space="0" w:color="auto"/>
            <w:left w:val="none" w:sz="0" w:space="0" w:color="auto"/>
            <w:bottom w:val="none" w:sz="0" w:space="0" w:color="auto"/>
            <w:right w:val="none" w:sz="0" w:space="0" w:color="auto"/>
          </w:divBdr>
        </w:div>
      </w:divsChild>
    </w:div>
    <w:div w:id="1511483181">
      <w:bodyDiv w:val="1"/>
      <w:marLeft w:val="0"/>
      <w:marRight w:val="0"/>
      <w:marTop w:val="0"/>
      <w:marBottom w:val="0"/>
      <w:divBdr>
        <w:top w:val="none" w:sz="0" w:space="0" w:color="auto"/>
        <w:left w:val="none" w:sz="0" w:space="0" w:color="auto"/>
        <w:bottom w:val="none" w:sz="0" w:space="0" w:color="auto"/>
        <w:right w:val="none" w:sz="0" w:space="0" w:color="auto"/>
      </w:divBdr>
    </w:div>
    <w:div w:id="1514882969">
      <w:bodyDiv w:val="1"/>
      <w:marLeft w:val="0"/>
      <w:marRight w:val="0"/>
      <w:marTop w:val="0"/>
      <w:marBottom w:val="0"/>
      <w:divBdr>
        <w:top w:val="none" w:sz="0" w:space="0" w:color="auto"/>
        <w:left w:val="none" w:sz="0" w:space="0" w:color="auto"/>
        <w:bottom w:val="none" w:sz="0" w:space="0" w:color="auto"/>
        <w:right w:val="none" w:sz="0" w:space="0" w:color="auto"/>
      </w:divBdr>
    </w:div>
    <w:div w:id="1531408245">
      <w:bodyDiv w:val="1"/>
      <w:marLeft w:val="0"/>
      <w:marRight w:val="0"/>
      <w:marTop w:val="0"/>
      <w:marBottom w:val="0"/>
      <w:divBdr>
        <w:top w:val="none" w:sz="0" w:space="0" w:color="auto"/>
        <w:left w:val="none" w:sz="0" w:space="0" w:color="auto"/>
        <w:bottom w:val="none" w:sz="0" w:space="0" w:color="auto"/>
        <w:right w:val="none" w:sz="0" w:space="0" w:color="auto"/>
      </w:divBdr>
    </w:div>
    <w:div w:id="1531913178">
      <w:bodyDiv w:val="1"/>
      <w:marLeft w:val="0"/>
      <w:marRight w:val="0"/>
      <w:marTop w:val="0"/>
      <w:marBottom w:val="0"/>
      <w:divBdr>
        <w:top w:val="none" w:sz="0" w:space="0" w:color="auto"/>
        <w:left w:val="none" w:sz="0" w:space="0" w:color="auto"/>
        <w:bottom w:val="none" w:sz="0" w:space="0" w:color="auto"/>
        <w:right w:val="none" w:sz="0" w:space="0" w:color="auto"/>
      </w:divBdr>
    </w:div>
    <w:div w:id="1547137515">
      <w:bodyDiv w:val="1"/>
      <w:marLeft w:val="0"/>
      <w:marRight w:val="0"/>
      <w:marTop w:val="0"/>
      <w:marBottom w:val="0"/>
      <w:divBdr>
        <w:top w:val="none" w:sz="0" w:space="0" w:color="auto"/>
        <w:left w:val="none" w:sz="0" w:space="0" w:color="auto"/>
        <w:bottom w:val="none" w:sz="0" w:space="0" w:color="auto"/>
        <w:right w:val="none" w:sz="0" w:space="0" w:color="auto"/>
      </w:divBdr>
    </w:div>
    <w:div w:id="1550649251">
      <w:bodyDiv w:val="1"/>
      <w:marLeft w:val="0"/>
      <w:marRight w:val="0"/>
      <w:marTop w:val="0"/>
      <w:marBottom w:val="0"/>
      <w:divBdr>
        <w:top w:val="none" w:sz="0" w:space="0" w:color="auto"/>
        <w:left w:val="none" w:sz="0" w:space="0" w:color="auto"/>
        <w:bottom w:val="none" w:sz="0" w:space="0" w:color="auto"/>
        <w:right w:val="none" w:sz="0" w:space="0" w:color="auto"/>
      </w:divBdr>
    </w:div>
    <w:div w:id="1557862235">
      <w:bodyDiv w:val="1"/>
      <w:marLeft w:val="0"/>
      <w:marRight w:val="0"/>
      <w:marTop w:val="0"/>
      <w:marBottom w:val="0"/>
      <w:divBdr>
        <w:top w:val="none" w:sz="0" w:space="0" w:color="auto"/>
        <w:left w:val="none" w:sz="0" w:space="0" w:color="auto"/>
        <w:bottom w:val="none" w:sz="0" w:space="0" w:color="auto"/>
        <w:right w:val="none" w:sz="0" w:space="0" w:color="auto"/>
      </w:divBdr>
    </w:div>
    <w:div w:id="1568608403">
      <w:bodyDiv w:val="1"/>
      <w:marLeft w:val="0"/>
      <w:marRight w:val="0"/>
      <w:marTop w:val="0"/>
      <w:marBottom w:val="0"/>
      <w:divBdr>
        <w:top w:val="none" w:sz="0" w:space="0" w:color="auto"/>
        <w:left w:val="none" w:sz="0" w:space="0" w:color="auto"/>
        <w:bottom w:val="none" w:sz="0" w:space="0" w:color="auto"/>
        <w:right w:val="none" w:sz="0" w:space="0" w:color="auto"/>
      </w:divBdr>
    </w:div>
    <w:div w:id="1571041231">
      <w:bodyDiv w:val="1"/>
      <w:marLeft w:val="0"/>
      <w:marRight w:val="0"/>
      <w:marTop w:val="0"/>
      <w:marBottom w:val="0"/>
      <w:divBdr>
        <w:top w:val="none" w:sz="0" w:space="0" w:color="auto"/>
        <w:left w:val="none" w:sz="0" w:space="0" w:color="auto"/>
        <w:bottom w:val="none" w:sz="0" w:space="0" w:color="auto"/>
        <w:right w:val="none" w:sz="0" w:space="0" w:color="auto"/>
      </w:divBdr>
      <w:divsChild>
        <w:div w:id="9338681">
          <w:marLeft w:val="0"/>
          <w:marRight w:val="0"/>
          <w:marTop w:val="0"/>
          <w:marBottom w:val="0"/>
          <w:divBdr>
            <w:top w:val="none" w:sz="0" w:space="0" w:color="auto"/>
            <w:left w:val="none" w:sz="0" w:space="0" w:color="auto"/>
            <w:bottom w:val="none" w:sz="0" w:space="0" w:color="auto"/>
            <w:right w:val="none" w:sz="0" w:space="0" w:color="auto"/>
          </w:divBdr>
          <w:divsChild>
            <w:div w:id="2108769291">
              <w:marLeft w:val="0"/>
              <w:marRight w:val="0"/>
              <w:marTop w:val="0"/>
              <w:marBottom w:val="0"/>
              <w:divBdr>
                <w:top w:val="none" w:sz="0" w:space="0" w:color="auto"/>
                <w:left w:val="none" w:sz="0" w:space="0" w:color="auto"/>
                <w:bottom w:val="none" w:sz="0" w:space="0" w:color="auto"/>
                <w:right w:val="none" w:sz="0" w:space="0" w:color="auto"/>
              </w:divBdr>
              <w:divsChild>
                <w:div w:id="1930312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35979">
      <w:bodyDiv w:val="1"/>
      <w:marLeft w:val="0"/>
      <w:marRight w:val="0"/>
      <w:marTop w:val="0"/>
      <w:marBottom w:val="0"/>
      <w:divBdr>
        <w:top w:val="none" w:sz="0" w:space="0" w:color="auto"/>
        <w:left w:val="none" w:sz="0" w:space="0" w:color="auto"/>
        <w:bottom w:val="none" w:sz="0" w:space="0" w:color="auto"/>
        <w:right w:val="none" w:sz="0" w:space="0" w:color="auto"/>
      </w:divBdr>
      <w:divsChild>
        <w:div w:id="825632263">
          <w:marLeft w:val="288"/>
          <w:marRight w:val="0"/>
          <w:marTop w:val="0"/>
          <w:marBottom w:val="0"/>
          <w:divBdr>
            <w:top w:val="none" w:sz="0" w:space="0" w:color="auto"/>
            <w:left w:val="none" w:sz="0" w:space="0" w:color="auto"/>
            <w:bottom w:val="none" w:sz="0" w:space="0" w:color="auto"/>
            <w:right w:val="none" w:sz="0" w:space="0" w:color="auto"/>
          </w:divBdr>
        </w:div>
        <w:div w:id="972708105">
          <w:marLeft w:val="288"/>
          <w:marRight w:val="0"/>
          <w:marTop w:val="0"/>
          <w:marBottom w:val="0"/>
          <w:divBdr>
            <w:top w:val="none" w:sz="0" w:space="0" w:color="auto"/>
            <w:left w:val="none" w:sz="0" w:space="0" w:color="auto"/>
            <w:bottom w:val="none" w:sz="0" w:space="0" w:color="auto"/>
            <w:right w:val="none" w:sz="0" w:space="0" w:color="auto"/>
          </w:divBdr>
        </w:div>
        <w:div w:id="1593274457">
          <w:marLeft w:val="288"/>
          <w:marRight w:val="0"/>
          <w:marTop w:val="0"/>
          <w:marBottom w:val="0"/>
          <w:divBdr>
            <w:top w:val="none" w:sz="0" w:space="0" w:color="auto"/>
            <w:left w:val="none" w:sz="0" w:space="0" w:color="auto"/>
            <w:bottom w:val="none" w:sz="0" w:space="0" w:color="auto"/>
            <w:right w:val="none" w:sz="0" w:space="0" w:color="auto"/>
          </w:divBdr>
        </w:div>
      </w:divsChild>
    </w:div>
    <w:div w:id="1591086927">
      <w:bodyDiv w:val="1"/>
      <w:marLeft w:val="0"/>
      <w:marRight w:val="0"/>
      <w:marTop w:val="0"/>
      <w:marBottom w:val="0"/>
      <w:divBdr>
        <w:top w:val="none" w:sz="0" w:space="0" w:color="auto"/>
        <w:left w:val="none" w:sz="0" w:space="0" w:color="auto"/>
        <w:bottom w:val="none" w:sz="0" w:space="0" w:color="auto"/>
        <w:right w:val="none" w:sz="0" w:space="0" w:color="auto"/>
      </w:divBdr>
      <w:divsChild>
        <w:div w:id="162212162">
          <w:marLeft w:val="288"/>
          <w:marRight w:val="0"/>
          <w:marTop w:val="0"/>
          <w:marBottom w:val="0"/>
          <w:divBdr>
            <w:top w:val="none" w:sz="0" w:space="0" w:color="auto"/>
            <w:left w:val="none" w:sz="0" w:space="0" w:color="auto"/>
            <w:bottom w:val="none" w:sz="0" w:space="0" w:color="auto"/>
            <w:right w:val="none" w:sz="0" w:space="0" w:color="auto"/>
          </w:divBdr>
        </w:div>
        <w:div w:id="1675302927">
          <w:marLeft w:val="288"/>
          <w:marRight w:val="0"/>
          <w:marTop w:val="0"/>
          <w:marBottom w:val="0"/>
          <w:divBdr>
            <w:top w:val="none" w:sz="0" w:space="0" w:color="auto"/>
            <w:left w:val="none" w:sz="0" w:space="0" w:color="auto"/>
            <w:bottom w:val="none" w:sz="0" w:space="0" w:color="auto"/>
            <w:right w:val="none" w:sz="0" w:space="0" w:color="auto"/>
          </w:divBdr>
        </w:div>
      </w:divsChild>
    </w:div>
    <w:div w:id="1619946716">
      <w:bodyDiv w:val="1"/>
      <w:marLeft w:val="0"/>
      <w:marRight w:val="0"/>
      <w:marTop w:val="0"/>
      <w:marBottom w:val="0"/>
      <w:divBdr>
        <w:top w:val="none" w:sz="0" w:space="0" w:color="auto"/>
        <w:left w:val="none" w:sz="0" w:space="0" w:color="auto"/>
        <w:bottom w:val="none" w:sz="0" w:space="0" w:color="auto"/>
        <w:right w:val="none" w:sz="0" w:space="0" w:color="auto"/>
      </w:divBdr>
    </w:div>
    <w:div w:id="1620406180">
      <w:bodyDiv w:val="1"/>
      <w:marLeft w:val="0"/>
      <w:marRight w:val="0"/>
      <w:marTop w:val="0"/>
      <w:marBottom w:val="0"/>
      <w:divBdr>
        <w:top w:val="none" w:sz="0" w:space="0" w:color="auto"/>
        <w:left w:val="none" w:sz="0" w:space="0" w:color="auto"/>
        <w:bottom w:val="none" w:sz="0" w:space="0" w:color="auto"/>
        <w:right w:val="none" w:sz="0" w:space="0" w:color="auto"/>
      </w:divBdr>
    </w:div>
    <w:div w:id="1624726458">
      <w:bodyDiv w:val="1"/>
      <w:marLeft w:val="0"/>
      <w:marRight w:val="0"/>
      <w:marTop w:val="0"/>
      <w:marBottom w:val="0"/>
      <w:divBdr>
        <w:top w:val="none" w:sz="0" w:space="0" w:color="auto"/>
        <w:left w:val="none" w:sz="0" w:space="0" w:color="auto"/>
        <w:bottom w:val="none" w:sz="0" w:space="0" w:color="auto"/>
        <w:right w:val="none" w:sz="0" w:space="0" w:color="auto"/>
      </w:divBdr>
    </w:div>
    <w:div w:id="1625041899">
      <w:bodyDiv w:val="1"/>
      <w:marLeft w:val="0"/>
      <w:marRight w:val="0"/>
      <w:marTop w:val="0"/>
      <w:marBottom w:val="0"/>
      <w:divBdr>
        <w:top w:val="none" w:sz="0" w:space="0" w:color="auto"/>
        <w:left w:val="none" w:sz="0" w:space="0" w:color="auto"/>
        <w:bottom w:val="none" w:sz="0" w:space="0" w:color="auto"/>
        <w:right w:val="none" w:sz="0" w:space="0" w:color="auto"/>
      </w:divBdr>
    </w:div>
    <w:div w:id="1633244345">
      <w:bodyDiv w:val="1"/>
      <w:marLeft w:val="0"/>
      <w:marRight w:val="0"/>
      <w:marTop w:val="0"/>
      <w:marBottom w:val="0"/>
      <w:divBdr>
        <w:top w:val="none" w:sz="0" w:space="0" w:color="auto"/>
        <w:left w:val="none" w:sz="0" w:space="0" w:color="auto"/>
        <w:bottom w:val="none" w:sz="0" w:space="0" w:color="auto"/>
        <w:right w:val="none" w:sz="0" w:space="0" w:color="auto"/>
      </w:divBdr>
    </w:div>
    <w:div w:id="1633251707">
      <w:bodyDiv w:val="1"/>
      <w:marLeft w:val="0"/>
      <w:marRight w:val="0"/>
      <w:marTop w:val="0"/>
      <w:marBottom w:val="0"/>
      <w:divBdr>
        <w:top w:val="none" w:sz="0" w:space="0" w:color="auto"/>
        <w:left w:val="none" w:sz="0" w:space="0" w:color="auto"/>
        <w:bottom w:val="none" w:sz="0" w:space="0" w:color="auto"/>
        <w:right w:val="none" w:sz="0" w:space="0" w:color="auto"/>
      </w:divBdr>
      <w:divsChild>
        <w:div w:id="124080337">
          <w:marLeft w:val="288"/>
          <w:marRight w:val="0"/>
          <w:marTop w:val="0"/>
          <w:marBottom w:val="0"/>
          <w:divBdr>
            <w:top w:val="none" w:sz="0" w:space="0" w:color="auto"/>
            <w:left w:val="none" w:sz="0" w:space="0" w:color="auto"/>
            <w:bottom w:val="none" w:sz="0" w:space="0" w:color="auto"/>
            <w:right w:val="none" w:sz="0" w:space="0" w:color="auto"/>
          </w:divBdr>
        </w:div>
        <w:div w:id="186213126">
          <w:marLeft w:val="288"/>
          <w:marRight w:val="0"/>
          <w:marTop w:val="0"/>
          <w:marBottom w:val="0"/>
          <w:divBdr>
            <w:top w:val="none" w:sz="0" w:space="0" w:color="auto"/>
            <w:left w:val="none" w:sz="0" w:space="0" w:color="auto"/>
            <w:bottom w:val="none" w:sz="0" w:space="0" w:color="auto"/>
            <w:right w:val="none" w:sz="0" w:space="0" w:color="auto"/>
          </w:divBdr>
        </w:div>
        <w:div w:id="191311738">
          <w:marLeft w:val="288"/>
          <w:marRight w:val="0"/>
          <w:marTop w:val="0"/>
          <w:marBottom w:val="0"/>
          <w:divBdr>
            <w:top w:val="none" w:sz="0" w:space="0" w:color="auto"/>
            <w:left w:val="none" w:sz="0" w:space="0" w:color="auto"/>
            <w:bottom w:val="none" w:sz="0" w:space="0" w:color="auto"/>
            <w:right w:val="none" w:sz="0" w:space="0" w:color="auto"/>
          </w:divBdr>
        </w:div>
        <w:div w:id="2135824786">
          <w:marLeft w:val="288"/>
          <w:marRight w:val="0"/>
          <w:marTop w:val="0"/>
          <w:marBottom w:val="0"/>
          <w:divBdr>
            <w:top w:val="none" w:sz="0" w:space="0" w:color="auto"/>
            <w:left w:val="none" w:sz="0" w:space="0" w:color="auto"/>
            <w:bottom w:val="none" w:sz="0" w:space="0" w:color="auto"/>
            <w:right w:val="none" w:sz="0" w:space="0" w:color="auto"/>
          </w:divBdr>
        </w:div>
      </w:divsChild>
    </w:div>
    <w:div w:id="1657496298">
      <w:bodyDiv w:val="1"/>
      <w:marLeft w:val="0"/>
      <w:marRight w:val="0"/>
      <w:marTop w:val="0"/>
      <w:marBottom w:val="0"/>
      <w:divBdr>
        <w:top w:val="none" w:sz="0" w:space="0" w:color="auto"/>
        <w:left w:val="none" w:sz="0" w:space="0" w:color="auto"/>
        <w:bottom w:val="none" w:sz="0" w:space="0" w:color="auto"/>
        <w:right w:val="none" w:sz="0" w:space="0" w:color="auto"/>
      </w:divBdr>
      <w:divsChild>
        <w:div w:id="1695768702">
          <w:marLeft w:val="274"/>
          <w:marRight w:val="0"/>
          <w:marTop w:val="0"/>
          <w:marBottom w:val="0"/>
          <w:divBdr>
            <w:top w:val="none" w:sz="0" w:space="0" w:color="auto"/>
            <w:left w:val="none" w:sz="0" w:space="0" w:color="auto"/>
            <w:bottom w:val="none" w:sz="0" w:space="0" w:color="auto"/>
            <w:right w:val="none" w:sz="0" w:space="0" w:color="auto"/>
          </w:divBdr>
        </w:div>
      </w:divsChild>
    </w:div>
    <w:div w:id="1676419537">
      <w:bodyDiv w:val="1"/>
      <w:marLeft w:val="0"/>
      <w:marRight w:val="0"/>
      <w:marTop w:val="0"/>
      <w:marBottom w:val="0"/>
      <w:divBdr>
        <w:top w:val="none" w:sz="0" w:space="0" w:color="auto"/>
        <w:left w:val="none" w:sz="0" w:space="0" w:color="auto"/>
        <w:bottom w:val="none" w:sz="0" w:space="0" w:color="auto"/>
        <w:right w:val="none" w:sz="0" w:space="0" w:color="auto"/>
      </w:divBdr>
    </w:div>
    <w:div w:id="1680887895">
      <w:bodyDiv w:val="1"/>
      <w:marLeft w:val="0"/>
      <w:marRight w:val="0"/>
      <w:marTop w:val="0"/>
      <w:marBottom w:val="0"/>
      <w:divBdr>
        <w:top w:val="none" w:sz="0" w:space="0" w:color="auto"/>
        <w:left w:val="none" w:sz="0" w:space="0" w:color="auto"/>
        <w:bottom w:val="none" w:sz="0" w:space="0" w:color="auto"/>
        <w:right w:val="none" w:sz="0" w:space="0" w:color="auto"/>
      </w:divBdr>
    </w:div>
    <w:div w:id="1685013210">
      <w:bodyDiv w:val="1"/>
      <w:marLeft w:val="0"/>
      <w:marRight w:val="0"/>
      <w:marTop w:val="0"/>
      <w:marBottom w:val="0"/>
      <w:divBdr>
        <w:top w:val="none" w:sz="0" w:space="0" w:color="auto"/>
        <w:left w:val="none" w:sz="0" w:space="0" w:color="auto"/>
        <w:bottom w:val="none" w:sz="0" w:space="0" w:color="auto"/>
        <w:right w:val="none" w:sz="0" w:space="0" w:color="auto"/>
      </w:divBdr>
    </w:div>
    <w:div w:id="1704863260">
      <w:bodyDiv w:val="1"/>
      <w:marLeft w:val="0"/>
      <w:marRight w:val="0"/>
      <w:marTop w:val="0"/>
      <w:marBottom w:val="0"/>
      <w:divBdr>
        <w:top w:val="none" w:sz="0" w:space="0" w:color="auto"/>
        <w:left w:val="none" w:sz="0" w:space="0" w:color="auto"/>
        <w:bottom w:val="none" w:sz="0" w:space="0" w:color="auto"/>
        <w:right w:val="none" w:sz="0" w:space="0" w:color="auto"/>
      </w:divBdr>
    </w:div>
    <w:div w:id="1708993536">
      <w:bodyDiv w:val="1"/>
      <w:marLeft w:val="0"/>
      <w:marRight w:val="0"/>
      <w:marTop w:val="0"/>
      <w:marBottom w:val="0"/>
      <w:divBdr>
        <w:top w:val="none" w:sz="0" w:space="0" w:color="auto"/>
        <w:left w:val="none" w:sz="0" w:space="0" w:color="auto"/>
        <w:bottom w:val="none" w:sz="0" w:space="0" w:color="auto"/>
        <w:right w:val="none" w:sz="0" w:space="0" w:color="auto"/>
      </w:divBdr>
    </w:div>
    <w:div w:id="1730379541">
      <w:bodyDiv w:val="1"/>
      <w:marLeft w:val="0"/>
      <w:marRight w:val="0"/>
      <w:marTop w:val="0"/>
      <w:marBottom w:val="0"/>
      <w:divBdr>
        <w:top w:val="none" w:sz="0" w:space="0" w:color="auto"/>
        <w:left w:val="none" w:sz="0" w:space="0" w:color="auto"/>
        <w:bottom w:val="none" w:sz="0" w:space="0" w:color="auto"/>
        <w:right w:val="none" w:sz="0" w:space="0" w:color="auto"/>
      </w:divBdr>
      <w:divsChild>
        <w:div w:id="369649754">
          <w:marLeft w:val="274"/>
          <w:marRight w:val="0"/>
          <w:marTop w:val="0"/>
          <w:marBottom w:val="0"/>
          <w:divBdr>
            <w:top w:val="none" w:sz="0" w:space="0" w:color="auto"/>
            <w:left w:val="none" w:sz="0" w:space="0" w:color="auto"/>
            <w:bottom w:val="none" w:sz="0" w:space="0" w:color="auto"/>
            <w:right w:val="none" w:sz="0" w:space="0" w:color="auto"/>
          </w:divBdr>
        </w:div>
      </w:divsChild>
    </w:div>
    <w:div w:id="1731611713">
      <w:bodyDiv w:val="1"/>
      <w:marLeft w:val="0"/>
      <w:marRight w:val="0"/>
      <w:marTop w:val="0"/>
      <w:marBottom w:val="0"/>
      <w:divBdr>
        <w:top w:val="none" w:sz="0" w:space="0" w:color="auto"/>
        <w:left w:val="none" w:sz="0" w:space="0" w:color="auto"/>
        <w:bottom w:val="none" w:sz="0" w:space="0" w:color="auto"/>
        <w:right w:val="none" w:sz="0" w:space="0" w:color="auto"/>
      </w:divBdr>
    </w:div>
    <w:div w:id="1740009877">
      <w:bodyDiv w:val="1"/>
      <w:marLeft w:val="0"/>
      <w:marRight w:val="0"/>
      <w:marTop w:val="0"/>
      <w:marBottom w:val="0"/>
      <w:divBdr>
        <w:top w:val="none" w:sz="0" w:space="0" w:color="auto"/>
        <w:left w:val="none" w:sz="0" w:space="0" w:color="auto"/>
        <w:bottom w:val="none" w:sz="0" w:space="0" w:color="auto"/>
        <w:right w:val="none" w:sz="0" w:space="0" w:color="auto"/>
      </w:divBdr>
    </w:div>
    <w:div w:id="1755517230">
      <w:bodyDiv w:val="1"/>
      <w:marLeft w:val="0"/>
      <w:marRight w:val="0"/>
      <w:marTop w:val="0"/>
      <w:marBottom w:val="0"/>
      <w:divBdr>
        <w:top w:val="none" w:sz="0" w:space="0" w:color="auto"/>
        <w:left w:val="none" w:sz="0" w:space="0" w:color="auto"/>
        <w:bottom w:val="none" w:sz="0" w:space="0" w:color="auto"/>
        <w:right w:val="none" w:sz="0" w:space="0" w:color="auto"/>
      </w:divBdr>
    </w:div>
    <w:div w:id="1769808298">
      <w:bodyDiv w:val="1"/>
      <w:marLeft w:val="0"/>
      <w:marRight w:val="0"/>
      <w:marTop w:val="0"/>
      <w:marBottom w:val="0"/>
      <w:divBdr>
        <w:top w:val="none" w:sz="0" w:space="0" w:color="auto"/>
        <w:left w:val="none" w:sz="0" w:space="0" w:color="auto"/>
        <w:bottom w:val="none" w:sz="0" w:space="0" w:color="auto"/>
        <w:right w:val="none" w:sz="0" w:space="0" w:color="auto"/>
      </w:divBdr>
    </w:div>
    <w:div w:id="1793204023">
      <w:bodyDiv w:val="1"/>
      <w:marLeft w:val="0"/>
      <w:marRight w:val="0"/>
      <w:marTop w:val="0"/>
      <w:marBottom w:val="0"/>
      <w:divBdr>
        <w:top w:val="none" w:sz="0" w:space="0" w:color="auto"/>
        <w:left w:val="none" w:sz="0" w:space="0" w:color="auto"/>
        <w:bottom w:val="none" w:sz="0" w:space="0" w:color="auto"/>
        <w:right w:val="none" w:sz="0" w:space="0" w:color="auto"/>
      </w:divBdr>
    </w:div>
    <w:div w:id="1794592632">
      <w:bodyDiv w:val="1"/>
      <w:marLeft w:val="0"/>
      <w:marRight w:val="0"/>
      <w:marTop w:val="0"/>
      <w:marBottom w:val="0"/>
      <w:divBdr>
        <w:top w:val="none" w:sz="0" w:space="0" w:color="auto"/>
        <w:left w:val="none" w:sz="0" w:space="0" w:color="auto"/>
        <w:bottom w:val="none" w:sz="0" w:space="0" w:color="auto"/>
        <w:right w:val="none" w:sz="0" w:space="0" w:color="auto"/>
      </w:divBdr>
    </w:div>
    <w:div w:id="1817719623">
      <w:bodyDiv w:val="1"/>
      <w:marLeft w:val="0"/>
      <w:marRight w:val="0"/>
      <w:marTop w:val="0"/>
      <w:marBottom w:val="0"/>
      <w:divBdr>
        <w:top w:val="none" w:sz="0" w:space="0" w:color="auto"/>
        <w:left w:val="none" w:sz="0" w:space="0" w:color="auto"/>
        <w:bottom w:val="none" w:sz="0" w:space="0" w:color="auto"/>
        <w:right w:val="none" w:sz="0" w:space="0" w:color="auto"/>
      </w:divBdr>
    </w:div>
    <w:div w:id="1822773481">
      <w:bodyDiv w:val="1"/>
      <w:marLeft w:val="0"/>
      <w:marRight w:val="0"/>
      <w:marTop w:val="0"/>
      <w:marBottom w:val="0"/>
      <w:divBdr>
        <w:top w:val="none" w:sz="0" w:space="0" w:color="auto"/>
        <w:left w:val="none" w:sz="0" w:space="0" w:color="auto"/>
        <w:bottom w:val="none" w:sz="0" w:space="0" w:color="auto"/>
        <w:right w:val="none" w:sz="0" w:space="0" w:color="auto"/>
      </w:divBdr>
    </w:div>
    <w:div w:id="1824807852">
      <w:bodyDiv w:val="1"/>
      <w:marLeft w:val="0"/>
      <w:marRight w:val="0"/>
      <w:marTop w:val="0"/>
      <w:marBottom w:val="0"/>
      <w:divBdr>
        <w:top w:val="none" w:sz="0" w:space="0" w:color="auto"/>
        <w:left w:val="none" w:sz="0" w:space="0" w:color="auto"/>
        <w:bottom w:val="none" w:sz="0" w:space="0" w:color="auto"/>
        <w:right w:val="none" w:sz="0" w:space="0" w:color="auto"/>
      </w:divBdr>
    </w:div>
    <w:div w:id="1833135520">
      <w:bodyDiv w:val="1"/>
      <w:marLeft w:val="0"/>
      <w:marRight w:val="0"/>
      <w:marTop w:val="0"/>
      <w:marBottom w:val="0"/>
      <w:divBdr>
        <w:top w:val="none" w:sz="0" w:space="0" w:color="auto"/>
        <w:left w:val="none" w:sz="0" w:space="0" w:color="auto"/>
        <w:bottom w:val="none" w:sz="0" w:space="0" w:color="auto"/>
        <w:right w:val="none" w:sz="0" w:space="0" w:color="auto"/>
      </w:divBdr>
    </w:div>
    <w:div w:id="1841457242">
      <w:bodyDiv w:val="1"/>
      <w:marLeft w:val="0"/>
      <w:marRight w:val="0"/>
      <w:marTop w:val="0"/>
      <w:marBottom w:val="0"/>
      <w:divBdr>
        <w:top w:val="none" w:sz="0" w:space="0" w:color="auto"/>
        <w:left w:val="none" w:sz="0" w:space="0" w:color="auto"/>
        <w:bottom w:val="none" w:sz="0" w:space="0" w:color="auto"/>
        <w:right w:val="none" w:sz="0" w:space="0" w:color="auto"/>
      </w:divBdr>
      <w:divsChild>
        <w:div w:id="449862208">
          <w:marLeft w:val="562"/>
          <w:marRight w:val="0"/>
          <w:marTop w:val="0"/>
          <w:marBottom w:val="0"/>
          <w:divBdr>
            <w:top w:val="none" w:sz="0" w:space="0" w:color="auto"/>
            <w:left w:val="none" w:sz="0" w:space="0" w:color="auto"/>
            <w:bottom w:val="none" w:sz="0" w:space="0" w:color="auto"/>
            <w:right w:val="none" w:sz="0" w:space="0" w:color="auto"/>
          </w:divBdr>
        </w:div>
        <w:div w:id="1177845332">
          <w:marLeft w:val="562"/>
          <w:marRight w:val="0"/>
          <w:marTop w:val="0"/>
          <w:marBottom w:val="0"/>
          <w:divBdr>
            <w:top w:val="none" w:sz="0" w:space="0" w:color="auto"/>
            <w:left w:val="none" w:sz="0" w:space="0" w:color="auto"/>
            <w:bottom w:val="none" w:sz="0" w:space="0" w:color="auto"/>
            <w:right w:val="none" w:sz="0" w:space="0" w:color="auto"/>
          </w:divBdr>
        </w:div>
        <w:div w:id="1556162105">
          <w:marLeft w:val="850"/>
          <w:marRight w:val="0"/>
          <w:marTop w:val="0"/>
          <w:marBottom w:val="0"/>
          <w:divBdr>
            <w:top w:val="none" w:sz="0" w:space="0" w:color="auto"/>
            <w:left w:val="none" w:sz="0" w:space="0" w:color="auto"/>
            <w:bottom w:val="none" w:sz="0" w:space="0" w:color="auto"/>
            <w:right w:val="none" w:sz="0" w:space="0" w:color="auto"/>
          </w:divBdr>
        </w:div>
        <w:div w:id="1556698988">
          <w:marLeft w:val="850"/>
          <w:marRight w:val="0"/>
          <w:marTop w:val="0"/>
          <w:marBottom w:val="0"/>
          <w:divBdr>
            <w:top w:val="none" w:sz="0" w:space="0" w:color="auto"/>
            <w:left w:val="none" w:sz="0" w:space="0" w:color="auto"/>
            <w:bottom w:val="none" w:sz="0" w:space="0" w:color="auto"/>
            <w:right w:val="none" w:sz="0" w:space="0" w:color="auto"/>
          </w:divBdr>
        </w:div>
        <w:div w:id="1807620290">
          <w:marLeft w:val="850"/>
          <w:marRight w:val="0"/>
          <w:marTop w:val="0"/>
          <w:marBottom w:val="0"/>
          <w:divBdr>
            <w:top w:val="none" w:sz="0" w:space="0" w:color="auto"/>
            <w:left w:val="none" w:sz="0" w:space="0" w:color="auto"/>
            <w:bottom w:val="none" w:sz="0" w:space="0" w:color="auto"/>
            <w:right w:val="none" w:sz="0" w:space="0" w:color="auto"/>
          </w:divBdr>
        </w:div>
        <w:div w:id="2120174099">
          <w:marLeft w:val="274"/>
          <w:marRight w:val="0"/>
          <w:marTop w:val="0"/>
          <w:marBottom w:val="0"/>
          <w:divBdr>
            <w:top w:val="none" w:sz="0" w:space="0" w:color="auto"/>
            <w:left w:val="none" w:sz="0" w:space="0" w:color="auto"/>
            <w:bottom w:val="none" w:sz="0" w:space="0" w:color="auto"/>
            <w:right w:val="none" w:sz="0" w:space="0" w:color="auto"/>
          </w:divBdr>
        </w:div>
      </w:divsChild>
    </w:div>
    <w:div w:id="1841970192">
      <w:bodyDiv w:val="1"/>
      <w:marLeft w:val="0"/>
      <w:marRight w:val="0"/>
      <w:marTop w:val="0"/>
      <w:marBottom w:val="0"/>
      <w:divBdr>
        <w:top w:val="none" w:sz="0" w:space="0" w:color="auto"/>
        <w:left w:val="none" w:sz="0" w:space="0" w:color="auto"/>
        <w:bottom w:val="none" w:sz="0" w:space="0" w:color="auto"/>
        <w:right w:val="none" w:sz="0" w:space="0" w:color="auto"/>
      </w:divBdr>
    </w:div>
    <w:div w:id="1847549674">
      <w:bodyDiv w:val="1"/>
      <w:marLeft w:val="0"/>
      <w:marRight w:val="0"/>
      <w:marTop w:val="0"/>
      <w:marBottom w:val="0"/>
      <w:divBdr>
        <w:top w:val="none" w:sz="0" w:space="0" w:color="auto"/>
        <w:left w:val="none" w:sz="0" w:space="0" w:color="auto"/>
        <w:bottom w:val="none" w:sz="0" w:space="0" w:color="auto"/>
        <w:right w:val="none" w:sz="0" w:space="0" w:color="auto"/>
      </w:divBdr>
    </w:div>
    <w:div w:id="1865094487">
      <w:bodyDiv w:val="1"/>
      <w:marLeft w:val="0"/>
      <w:marRight w:val="0"/>
      <w:marTop w:val="0"/>
      <w:marBottom w:val="0"/>
      <w:divBdr>
        <w:top w:val="none" w:sz="0" w:space="0" w:color="auto"/>
        <w:left w:val="none" w:sz="0" w:space="0" w:color="auto"/>
        <w:bottom w:val="none" w:sz="0" w:space="0" w:color="auto"/>
        <w:right w:val="none" w:sz="0" w:space="0" w:color="auto"/>
      </w:divBdr>
      <w:divsChild>
        <w:div w:id="1198933597">
          <w:marLeft w:val="245"/>
          <w:marRight w:val="0"/>
          <w:marTop w:val="0"/>
          <w:marBottom w:val="0"/>
          <w:divBdr>
            <w:top w:val="none" w:sz="0" w:space="0" w:color="auto"/>
            <w:left w:val="none" w:sz="0" w:space="0" w:color="auto"/>
            <w:bottom w:val="none" w:sz="0" w:space="0" w:color="auto"/>
            <w:right w:val="none" w:sz="0" w:space="0" w:color="auto"/>
          </w:divBdr>
        </w:div>
      </w:divsChild>
    </w:div>
    <w:div w:id="1866796196">
      <w:bodyDiv w:val="1"/>
      <w:marLeft w:val="0"/>
      <w:marRight w:val="0"/>
      <w:marTop w:val="0"/>
      <w:marBottom w:val="0"/>
      <w:divBdr>
        <w:top w:val="none" w:sz="0" w:space="0" w:color="auto"/>
        <w:left w:val="none" w:sz="0" w:space="0" w:color="auto"/>
        <w:bottom w:val="none" w:sz="0" w:space="0" w:color="auto"/>
        <w:right w:val="none" w:sz="0" w:space="0" w:color="auto"/>
      </w:divBdr>
      <w:divsChild>
        <w:div w:id="325591218">
          <w:marLeft w:val="850"/>
          <w:marRight w:val="0"/>
          <w:marTop w:val="0"/>
          <w:marBottom w:val="0"/>
          <w:divBdr>
            <w:top w:val="none" w:sz="0" w:space="0" w:color="auto"/>
            <w:left w:val="none" w:sz="0" w:space="0" w:color="auto"/>
            <w:bottom w:val="none" w:sz="0" w:space="0" w:color="auto"/>
            <w:right w:val="none" w:sz="0" w:space="0" w:color="auto"/>
          </w:divBdr>
        </w:div>
        <w:div w:id="445580239">
          <w:marLeft w:val="850"/>
          <w:marRight w:val="0"/>
          <w:marTop w:val="0"/>
          <w:marBottom w:val="0"/>
          <w:divBdr>
            <w:top w:val="none" w:sz="0" w:space="0" w:color="auto"/>
            <w:left w:val="none" w:sz="0" w:space="0" w:color="auto"/>
            <w:bottom w:val="none" w:sz="0" w:space="0" w:color="auto"/>
            <w:right w:val="none" w:sz="0" w:space="0" w:color="auto"/>
          </w:divBdr>
        </w:div>
        <w:div w:id="778449109">
          <w:marLeft w:val="274"/>
          <w:marRight w:val="0"/>
          <w:marTop w:val="0"/>
          <w:marBottom w:val="0"/>
          <w:divBdr>
            <w:top w:val="none" w:sz="0" w:space="0" w:color="auto"/>
            <w:left w:val="none" w:sz="0" w:space="0" w:color="auto"/>
            <w:bottom w:val="none" w:sz="0" w:space="0" w:color="auto"/>
            <w:right w:val="none" w:sz="0" w:space="0" w:color="auto"/>
          </w:divBdr>
        </w:div>
        <w:div w:id="1903909711">
          <w:marLeft w:val="850"/>
          <w:marRight w:val="0"/>
          <w:marTop w:val="0"/>
          <w:marBottom w:val="0"/>
          <w:divBdr>
            <w:top w:val="none" w:sz="0" w:space="0" w:color="auto"/>
            <w:left w:val="none" w:sz="0" w:space="0" w:color="auto"/>
            <w:bottom w:val="none" w:sz="0" w:space="0" w:color="auto"/>
            <w:right w:val="none" w:sz="0" w:space="0" w:color="auto"/>
          </w:divBdr>
        </w:div>
        <w:div w:id="1936739717">
          <w:marLeft w:val="562"/>
          <w:marRight w:val="0"/>
          <w:marTop w:val="0"/>
          <w:marBottom w:val="0"/>
          <w:divBdr>
            <w:top w:val="none" w:sz="0" w:space="0" w:color="auto"/>
            <w:left w:val="none" w:sz="0" w:space="0" w:color="auto"/>
            <w:bottom w:val="none" w:sz="0" w:space="0" w:color="auto"/>
            <w:right w:val="none" w:sz="0" w:space="0" w:color="auto"/>
          </w:divBdr>
        </w:div>
        <w:div w:id="2049064407">
          <w:marLeft w:val="562"/>
          <w:marRight w:val="0"/>
          <w:marTop w:val="0"/>
          <w:marBottom w:val="0"/>
          <w:divBdr>
            <w:top w:val="none" w:sz="0" w:space="0" w:color="auto"/>
            <w:left w:val="none" w:sz="0" w:space="0" w:color="auto"/>
            <w:bottom w:val="none" w:sz="0" w:space="0" w:color="auto"/>
            <w:right w:val="none" w:sz="0" w:space="0" w:color="auto"/>
          </w:divBdr>
        </w:div>
      </w:divsChild>
    </w:div>
    <w:div w:id="1908956800">
      <w:bodyDiv w:val="1"/>
      <w:marLeft w:val="0"/>
      <w:marRight w:val="0"/>
      <w:marTop w:val="0"/>
      <w:marBottom w:val="0"/>
      <w:divBdr>
        <w:top w:val="none" w:sz="0" w:space="0" w:color="auto"/>
        <w:left w:val="none" w:sz="0" w:space="0" w:color="auto"/>
        <w:bottom w:val="none" w:sz="0" w:space="0" w:color="auto"/>
        <w:right w:val="none" w:sz="0" w:space="0" w:color="auto"/>
      </w:divBdr>
    </w:div>
    <w:div w:id="1913391239">
      <w:bodyDiv w:val="1"/>
      <w:marLeft w:val="0"/>
      <w:marRight w:val="0"/>
      <w:marTop w:val="0"/>
      <w:marBottom w:val="0"/>
      <w:divBdr>
        <w:top w:val="none" w:sz="0" w:space="0" w:color="auto"/>
        <w:left w:val="none" w:sz="0" w:space="0" w:color="auto"/>
        <w:bottom w:val="none" w:sz="0" w:space="0" w:color="auto"/>
        <w:right w:val="none" w:sz="0" w:space="0" w:color="auto"/>
      </w:divBdr>
      <w:divsChild>
        <w:div w:id="661080562">
          <w:marLeft w:val="288"/>
          <w:marRight w:val="0"/>
          <w:marTop w:val="0"/>
          <w:marBottom w:val="60"/>
          <w:divBdr>
            <w:top w:val="none" w:sz="0" w:space="0" w:color="auto"/>
            <w:left w:val="none" w:sz="0" w:space="0" w:color="auto"/>
            <w:bottom w:val="none" w:sz="0" w:space="0" w:color="auto"/>
            <w:right w:val="none" w:sz="0" w:space="0" w:color="auto"/>
          </w:divBdr>
        </w:div>
      </w:divsChild>
    </w:div>
    <w:div w:id="1932541214">
      <w:bodyDiv w:val="1"/>
      <w:marLeft w:val="0"/>
      <w:marRight w:val="0"/>
      <w:marTop w:val="0"/>
      <w:marBottom w:val="0"/>
      <w:divBdr>
        <w:top w:val="none" w:sz="0" w:space="0" w:color="auto"/>
        <w:left w:val="none" w:sz="0" w:space="0" w:color="auto"/>
        <w:bottom w:val="none" w:sz="0" w:space="0" w:color="auto"/>
        <w:right w:val="none" w:sz="0" w:space="0" w:color="auto"/>
      </w:divBdr>
    </w:div>
    <w:div w:id="1934430753">
      <w:bodyDiv w:val="1"/>
      <w:marLeft w:val="0"/>
      <w:marRight w:val="0"/>
      <w:marTop w:val="0"/>
      <w:marBottom w:val="0"/>
      <w:divBdr>
        <w:top w:val="none" w:sz="0" w:space="0" w:color="auto"/>
        <w:left w:val="none" w:sz="0" w:space="0" w:color="auto"/>
        <w:bottom w:val="none" w:sz="0" w:space="0" w:color="auto"/>
        <w:right w:val="none" w:sz="0" w:space="0" w:color="auto"/>
      </w:divBdr>
    </w:div>
    <w:div w:id="1935816552">
      <w:bodyDiv w:val="1"/>
      <w:marLeft w:val="0"/>
      <w:marRight w:val="0"/>
      <w:marTop w:val="0"/>
      <w:marBottom w:val="0"/>
      <w:divBdr>
        <w:top w:val="none" w:sz="0" w:space="0" w:color="auto"/>
        <w:left w:val="none" w:sz="0" w:space="0" w:color="auto"/>
        <w:bottom w:val="none" w:sz="0" w:space="0" w:color="auto"/>
        <w:right w:val="none" w:sz="0" w:space="0" w:color="auto"/>
      </w:divBdr>
    </w:div>
    <w:div w:id="1945533001">
      <w:bodyDiv w:val="1"/>
      <w:marLeft w:val="0"/>
      <w:marRight w:val="0"/>
      <w:marTop w:val="0"/>
      <w:marBottom w:val="0"/>
      <w:divBdr>
        <w:top w:val="none" w:sz="0" w:space="0" w:color="auto"/>
        <w:left w:val="none" w:sz="0" w:space="0" w:color="auto"/>
        <w:bottom w:val="none" w:sz="0" w:space="0" w:color="auto"/>
        <w:right w:val="none" w:sz="0" w:space="0" w:color="auto"/>
      </w:divBdr>
    </w:div>
    <w:div w:id="1950505974">
      <w:bodyDiv w:val="1"/>
      <w:marLeft w:val="0"/>
      <w:marRight w:val="0"/>
      <w:marTop w:val="0"/>
      <w:marBottom w:val="0"/>
      <w:divBdr>
        <w:top w:val="none" w:sz="0" w:space="0" w:color="auto"/>
        <w:left w:val="none" w:sz="0" w:space="0" w:color="auto"/>
        <w:bottom w:val="none" w:sz="0" w:space="0" w:color="auto"/>
        <w:right w:val="none" w:sz="0" w:space="0" w:color="auto"/>
      </w:divBdr>
    </w:div>
    <w:div w:id="1951886607">
      <w:bodyDiv w:val="1"/>
      <w:marLeft w:val="0"/>
      <w:marRight w:val="0"/>
      <w:marTop w:val="0"/>
      <w:marBottom w:val="0"/>
      <w:divBdr>
        <w:top w:val="none" w:sz="0" w:space="0" w:color="auto"/>
        <w:left w:val="none" w:sz="0" w:space="0" w:color="auto"/>
        <w:bottom w:val="none" w:sz="0" w:space="0" w:color="auto"/>
        <w:right w:val="none" w:sz="0" w:space="0" w:color="auto"/>
      </w:divBdr>
      <w:divsChild>
        <w:div w:id="318964709">
          <w:marLeft w:val="230"/>
          <w:marRight w:val="0"/>
          <w:marTop w:val="0"/>
          <w:marBottom w:val="0"/>
          <w:divBdr>
            <w:top w:val="none" w:sz="0" w:space="0" w:color="auto"/>
            <w:left w:val="none" w:sz="0" w:space="0" w:color="auto"/>
            <w:bottom w:val="none" w:sz="0" w:space="0" w:color="auto"/>
            <w:right w:val="none" w:sz="0" w:space="0" w:color="auto"/>
          </w:divBdr>
        </w:div>
        <w:div w:id="527719738">
          <w:marLeft w:val="230"/>
          <w:marRight w:val="0"/>
          <w:marTop w:val="0"/>
          <w:marBottom w:val="0"/>
          <w:divBdr>
            <w:top w:val="none" w:sz="0" w:space="0" w:color="auto"/>
            <w:left w:val="none" w:sz="0" w:space="0" w:color="auto"/>
            <w:bottom w:val="none" w:sz="0" w:space="0" w:color="auto"/>
            <w:right w:val="none" w:sz="0" w:space="0" w:color="auto"/>
          </w:divBdr>
        </w:div>
        <w:div w:id="1099523039">
          <w:marLeft w:val="230"/>
          <w:marRight w:val="0"/>
          <w:marTop w:val="0"/>
          <w:marBottom w:val="0"/>
          <w:divBdr>
            <w:top w:val="none" w:sz="0" w:space="0" w:color="auto"/>
            <w:left w:val="none" w:sz="0" w:space="0" w:color="auto"/>
            <w:bottom w:val="none" w:sz="0" w:space="0" w:color="auto"/>
            <w:right w:val="none" w:sz="0" w:space="0" w:color="auto"/>
          </w:divBdr>
        </w:div>
        <w:div w:id="2096851909">
          <w:marLeft w:val="230"/>
          <w:marRight w:val="0"/>
          <w:marTop w:val="0"/>
          <w:marBottom w:val="0"/>
          <w:divBdr>
            <w:top w:val="none" w:sz="0" w:space="0" w:color="auto"/>
            <w:left w:val="none" w:sz="0" w:space="0" w:color="auto"/>
            <w:bottom w:val="none" w:sz="0" w:space="0" w:color="auto"/>
            <w:right w:val="none" w:sz="0" w:space="0" w:color="auto"/>
          </w:divBdr>
        </w:div>
      </w:divsChild>
    </w:div>
    <w:div w:id="1956984690">
      <w:bodyDiv w:val="1"/>
      <w:marLeft w:val="0"/>
      <w:marRight w:val="0"/>
      <w:marTop w:val="0"/>
      <w:marBottom w:val="0"/>
      <w:divBdr>
        <w:top w:val="none" w:sz="0" w:space="0" w:color="auto"/>
        <w:left w:val="none" w:sz="0" w:space="0" w:color="auto"/>
        <w:bottom w:val="none" w:sz="0" w:space="0" w:color="auto"/>
        <w:right w:val="none" w:sz="0" w:space="0" w:color="auto"/>
      </w:divBdr>
      <w:divsChild>
        <w:div w:id="224029983">
          <w:marLeft w:val="0"/>
          <w:marRight w:val="0"/>
          <w:marTop w:val="0"/>
          <w:marBottom w:val="0"/>
          <w:divBdr>
            <w:top w:val="none" w:sz="0" w:space="0" w:color="auto"/>
            <w:left w:val="none" w:sz="0" w:space="0" w:color="auto"/>
            <w:bottom w:val="none" w:sz="0" w:space="0" w:color="auto"/>
            <w:right w:val="none" w:sz="0" w:space="0" w:color="auto"/>
          </w:divBdr>
          <w:divsChild>
            <w:div w:id="117920988">
              <w:marLeft w:val="0"/>
              <w:marRight w:val="0"/>
              <w:marTop w:val="0"/>
              <w:marBottom w:val="0"/>
              <w:divBdr>
                <w:top w:val="none" w:sz="0" w:space="0" w:color="auto"/>
                <w:left w:val="none" w:sz="0" w:space="0" w:color="auto"/>
                <w:bottom w:val="none" w:sz="0" w:space="0" w:color="auto"/>
                <w:right w:val="none" w:sz="0" w:space="0" w:color="auto"/>
              </w:divBdr>
              <w:divsChild>
                <w:div w:id="1482962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8245823">
      <w:bodyDiv w:val="1"/>
      <w:marLeft w:val="0"/>
      <w:marRight w:val="0"/>
      <w:marTop w:val="0"/>
      <w:marBottom w:val="0"/>
      <w:divBdr>
        <w:top w:val="none" w:sz="0" w:space="0" w:color="auto"/>
        <w:left w:val="none" w:sz="0" w:space="0" w:color="auto"/>
        <w:bottom w:val="none" w:sz="0" w:space="0" w:color="auto"/>
        <w:right w:val="none" w:sz="0" w:space="0" w:color="auto"/>
      </w:divBdr>
      <w:divsChild>
        <w:div w:id="1537502228">
          <w:marLeft w:val="0"/>
          <w:marRight w:val="0"/>
          <w:marTop w:val="0"/>
          <w:marBottom w:val="0"/>
          <w:divBdr>
            <w:top w:val="none" w:sz="0" w:space="0" w:color="auto"/>
            <w:left w:val="none" w:sz="0" w:space="0" w:color="auto"/>
            <w:bottom w:val="none" w:sz="0" w:space="0" w:color="auto"/>
            <w:right w:val="none" w:sz="0" w:space="0" w:color="auto"/>
          </w:divBdr>
          <w:divsChild>
            <w:div w:id="193468196">
              <w:marLeft w:val="0"/>
              <w:marRight w:val="0"/>
              <w:marTop w:val="0"/>
              <w:marBottom w:val="0"/>
              <w:divBdr>
                <w:top w:val="none" w:sz="0" w:space="0" w:color="auto"/>
                <w:left w:val="none" w:sz="0" w:space="0" w:color="auto"/>
                <w:bottom w:val="none" w:sz="0" w:space="0" w:color="auto"/>
                <w:right w:val="none" w:sz="0" w:space="0" w:color="auto"/>
              </w:divBdr>
              <w:divsChild>
                <w:div w:id="1834056069">
                  <w:marLeft w:val="0"/>
                  <w:marRight w:val="0"/>
                  <w:marTop w:val="0"/>
                  <w:marBottom w:val="0"/>
                  <w:divBdr>
                    <w:top w:val="none" w:sz="0" w:space="0" w:color="auto"/>
                    <w:left w:val="none" w:sz="0" w:space="0" w:color="auto"/>
                    <w:bottom w:val="none" w:sz="0" w:space="0" w:color="auto"/>
                    <w:right w:val="none" w:sz="0" w:space="0" w:color="auto"/>
                  </w:divBdr>
                  <w:divsChild>
                    <w:div w:id="1505197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520497">
      <w:bodyDiv w:val="1"/>
      <w:marLeft w:val="0"/>
      <w:marRight w:val="0"/>
      <w:marTop w:val="0"/>
      <w:marBottom w:val="0"/>
      <w:divBdr>
        <w:top w:val="none" w:sz="0" w:space="0" w:color="auto"/>
        <w:left w:val="none" w:sz="0" w:space="0" w:color="auto"/>
        <w:bottom w:val="none" w:sz="0" w:space="0" w:color="auto"/>
        <w:right w:val="none" w:sz="0" w:space="0" w:color="auto"/>
      </w:divBdr>
      <w:divsChild>
        <w:div w:id="1584338328">
          <w:marLeft w:val="0"/>
          <w:marRight w:val="0"/>
          <w:marTop w:val="240"/>
          <w:marBottom w:val="288"/>
          <w:divBdr>
            <w:top w:val="none" w:sz="0" w:space="0" w:color="auto"/>
            <w:left w:val="none" w:sz="0" w:space="0" w:color="auto"/>
            <w:bottom w:val="none" w:sz="0" w:space="0" w:color="auto"/>
            <w:right w:val="none" w:sz="0" w:space="0" w:color="auto"/>
          </w:divBdr>
        </w:div>
      </w:divsChild>
    </w:div>
    <w:div w:id="2004426869">
      <w:bodyDiv w:val="1"/>
      <w:marLeft w:val="0"/>
      <w:marRight w:val="0"/>
      <w:marTop w:val="0"/>
      <w:marBottom w:val="0"/>
      <w:divBdr>
        <w:top w:val="none" w:sz="0" w:space="0" w:color="auto"/>
        <w:left w:val="none" w:sz="0" w:space="0" w:color="auto"/>
        <w:bottom w:val="none" w:sz="0" w:space="0" w:color="auto"/>
        <w:right w:val="none" w:sz="0" w:space="0" w:color="auto"/>
      </w:divBdr>
    </w:div>
    <w:div w:id="2016490308">
      <w:bodyDiv w:val="1"/>
      <w:marLeft w:val="0"/>
      <w:marRight w:val="0"/>
      <w:marTop w:val="0"/>
      <w:marBottom w:val="0"/>
      <w:divBdr>
        <w:top w:val="none" w:sz="0" w:space="0" w:color="auto"/>
        <w:left w:val="none" w:sz="0" w:space="0" w:color="auto"/>
        <w:bottom w:val="none" w:sz="0" w:space="0" w:color="auto"/>
        <w:right w:val="none" w:sz="0" w:space="0" w:color="auto"/>
      </w:divBdr>
      <w:divsChild>
        <w:div w:id="392124178">
          <w:marLeft w:val="0"/>
          <w:marRight w:val="0"/>
          <w:marTop w:val="240"/>
          <w:marBottom w:val="288"/>
          <w:divBdr>
            <w:top w:val="none" w:sz="0" w:space="0" w:color="auto"/>
            <w:left w:val="none" w:sz="0" w:space="0" w:color="auto"/>
            <w:bottom w:val="none" w:sz="0" w:space="0" w:color="auto"/>
            <w:right w:val="none" w:sz="0" w:space="0" w:color="auto"/>
          </w:divBdr>
        </w:div>
      </w:divsChild>
    </w:div>
    <w:div w:id="2026781277">
      <w:bodyDiv w:val="1"/>
      <w:marLeft w:val="0"/>
      <w:marRight w:val="0"/>
      <w:marTop w:val="0"/>
      <w:marBottom w:val="0"/>
      <w:divBdr>
        <w:top w:val="none" w:sz="0" w:space="0" w:color="auto"/>
        <w:left w:val="none" w:sz="0" w:space="0" w:color="auto"/>
        <w:bottom w:val="none" w:sz="0" w:space="0" w:color="auto"/>
        <w:right w:val="none" w:sz="0" w:space="0" w:color="auto"/>
      </w:divBdr>
      <w:divsChild>
        <w:div w:id="256912549">
          <w:marLeft w:val="835"/>
          <w:marRight w:val="0"/>
          <w:marTop w:val="0"/>
          <w:marBottom w:val="0"/>
          <w:divBdr>
            <w:top w:val="none" w:sz="0" w:space="0" w:color="auto"/>
            <w:left w:val="none" w:sz="0" w:space="0" w:color="auto"/>
            <w:bottom w:val="none" w:sz="0" w:space="0" w:color="auto"/>
            <w:right w:val="none" w:sz="0" w:space="0" w:color="auto"/>
          </w:divBdr>
        </w:div>
        <w:div w:id="283342361">
          <w:marLeft w:val="562"/>
          <w:marRight w:val="0"/>
          <w:marTop w:val="0"/>
          <w:marBottom w:val="0"/>
          <w:divBdr>
            <w:top w:val="none" w:sz="0" w:space="0" w:color="auto"/>
            <w:left w:val="none" w:sz="0" w:space="0" w:color="auto"/>
            <w:bottom w:val="none" w:sz="0" w:space="0" w:color="auto"/>
            <w:right w:val="none" w:sz="0" w:space="0" w:color="auto"/>
          </w:divBdr>
        </w:div>
        <w:div w:id="303892880">
          <w:marLeft w:val="274"/>
          <w:marRight w:val="0"/>
          <w:marTop w:val="0"/>
          <w:marBottom w:val="0"/>
          <w:divBdr>
            <w:top w:val="none" w:sz="0" w:space="0" w:color="auto"/>
            <w:left w:val="none" w:sz="0" w:space="0" w:color="auto"/>
            <w:bottom w:val="none" w:sz="0" w:space="0" w:color="auto"/>
            <w:right w:val="none" w:sz="0" w:space="0" w:color="auto"/>
          </w:divBdr>
        </w:div>
        <w:div w:id="491068202">
          <w:marLeft w:val="274"/>
          <w:marRight w:val="0"/>
          <w:marTop w:val="0"/>
          <w:marBottom w:val="0"/>
          <w:divBdr>
            <w:top w:val="none" w:sz="0" w:space="0" w:color="auto"/>
            <w:left w:val="none" w:sz="0" w:space="0" w:color="auto"/>
            <w:bottom w:val="none" w:sz="0" w:space="0" w:color="auto"/>
            <w:right w:val="none" w:sz="0" w:space="0" w:color="auto"/>
          </w:divBdr>
        </w:div>
        <w:div w:id="597909706">
          <w:marLeft w:val="634"/>
          <w:marRight w:val="0"/>
          <w:marTop w:val="0"/>
          <w:marBottom w:val="0"/>
          <w:divBdr>
            <w:top w:val="none" w:sz="0" w:space="0" w:color="auto"/>
            <w:left w:val="none" w:sz="0" w:space="0" w:color="auto"/>
            <w:bottom w:val="none" w:sz="0" w:space="0" w:color="auto"/>
            <w:right w:val="none" w:sz="0" w:space="0" w:color="auto"/>
          </w:divBdr>
        </w:div>
        <w:div w:id="658191053">
          <w:marLeft w:val="274"/>
          <w:marRight w:val="0"/>
          <w:marTop w:val="0"/>
          <w:marBottom w:val="0"/>
          <w:divBdr>
            <w:top w:val="none" w:sz="0" w:space="0" w:color="auto"/>
            <w:left w:val="none" w:sz="0" w:space="0" w:color="auto"/>
            <w:bottom w:val="none" w:sz="0" w:space="0" w:color="auto"/>
            <w:right w:val="none" w:sz="0" w:space="0" w:color="auto"/>
          </w:divBdr>
        </w:div>
        <w:div w:id="701636603">
          <w:marLeft w:val="562"/>
          <w:marRight w:val="0"/>
          <w:marTop w:val="0"/>
          <w:marBottom w:val="0"/>
          <w:divBdr>
            <w:top w:val="none" w:sz="0" w:space="0" w:color="auto"/>
            <w:left w:val="none" w:sz="0" w:space="0" w:color="auto"/>
            <w:bottom w:val="none" w:sz="0" w:space="0" w:color="auto"/>
            <w:right w:val="none" w:sz="0" w:space="0" w:color="auto"/>
          </w:divBdr>
        </w:div>
        <w:div w:id="912858679">
          <w:marLeft w:val="835"/>
          <w:marRight w:val="0"/>
          <w:marTop w:val="0"/>
          <w:marBottom w:val="0"/>
          <w:divBdr>
            <w:top w:val="none" w:sz="0" w:space="0" w:color="auto"/>
            <w:left w:val="none" w:sz="0" w:space="0" w:color="auto"/>
            <w:bottom w:val="none" w:sz="0" w:space="0" w:color="auto"/>
            <w:right w:val="none" w:sz="0" w:space="0" w:color="auto"/>
          </w:divBdr>
        </w:div>
        <w:div w:id="986477539">
          <w:marLeft w:val="634"/>
          <w:marRight w:val="0"/>
          <w:marTop w:val="0"/>
          <w:marBottom w:val="0"/>
          <w:divBdr>
            <w:top w:val="none" w:sz="0" w:space="0" w:color="auto"/>
            <w:left w:val="none" w:sz="0" w:space="0" w:color="auto"/>
            <w:bottom w:val="none" w:sz="0" w:space="0" w:color="auto"/>
            <w:right w:val="none" w:sz="0" w:space="0" w:color="auto"/>
          </w:divBdr>
        </w:div>
        <w:div w:id="1012149606">
          <w:marLeft w:val="562"/>
          <w:marRight w:val="0"/>
          <w:marTop w:val="0"/>
          <w:marBottom w:val="0"/>
          <w:divBdr>
            <w:top w:val="none" w:sz="0" w:space="0" w:color="auto"/>
            <w:left w:val="none" w:sz="0" w:space="0" w:color="auto"/>
            <w:bottom w:val="none" w:sz="0" w:space="0" w:color="auto"/>
            <w:right w:val="none" w:sz="0" w:space="0" w:color="auto"/>
          </w:divBdr>
        </w:div>
        <w:div w:id="1034572005">
          <w:marLeft w:val="835"/>
          <w:marRight w:val="0"/>
          <w:marTop w:val="0"/>
          <w:marBottom w:val="0"/>
          <w:divBdr>
            <w:top w:val="none" w:sz="0" w:space="0" w:color="auto"/>
            <w:left w:val="none" w:sz="0" w:space="0" w:color="auto"/>
            <w:bottom w:val="none" w:sz="0" w:space="0" w:color="auto"/>
            <w:right w:val="none" w:sz="0" w:space="0" w:color="auto"/>
          </w:divBdr>
        </w:div>
        <w:div w:id="1240675141">
          <w:marLeft w:val="562"/>
          <w:marRight w:val="0"/>
          <w:marTop w:val="0"/>
          <w:marBottom w:val="0"/>
          <w:divBdr>
            <w:top w:val="none" w:sz="0" w:space="0" w:color="auto"/>
            <w:left w:val="none" w:sz="0" w:space="0" w:color="auto"/>
            <w:bottom w:val="none" w:sz="0" w:space="0" w:color="auto"/>
            <w:right w:val="none" w:sz="0" w:space="0" w:color="auto"/>
          </w:divBdr>
        </w:div>
        <w:div w:id="1466124539">
          <w:marLeft w:val="562"/>
          <w:marRight w:val="0"/>
          <w:marTop w:val="0"/>
          <w:marBottom w:val="0"/>
          <w:divBdr>
            <w:top w:val="none" w:sz="0" w:space="0" w:color="auto"/>
            <w:left w:val="none" w:sz="0" w:space="0" w:color="auto"/>
            <w:bottom w:val="none" w:sz="0" w:space="0" w:color="auto"/>
            <w:right w:val="none" w:sz="0" w:space="0" w:color="auto"/>
          </w:divBdr>
        </w:div>
        <w:div w:id="1466772836">
          <w:marLeft w:val="835"/>
          <w:marRight w:val="0"/>
          <w:marTop w:val="0"/>
          <w:marBottom w:val="0"/>
          <w:divBdr>
            <w:top w:val="none" w:sz="0" w:space="0" w:color="auto"/>
            <w:left w:val="none" w:sz="0" w:space="0" w:color="auto"/>
            <w:bottom w:val="none" w:sz="0" w:space="0" w:color="auto"/>
            <w:right w:val="none" w:sz="0" w:space="0" w:color="auto"/>
          </w:divBdr>
        </w:div>
        <w:div w:id="1567110659">
          <w:marLeft w:val="835"/>
          <w:marRight w:val="0"/>
          <w:marTop w:val="0"/>
          <w:marBottom w:val="0"/>
          <w:divBdr>
            <w:top w:val="none" w:sz="0" w:space="0" w:color="auto"/>
            <w:left w:val="none" w:sz="0" w:space="0" w:color="auto"/>
            <w:bottom w:val="none" w:sz="0" w:space="0" w:color="auto"/>
            <w:right w:val="none" w:sz="0" w:space="0" w:color="auto"/>
          </w:divBdr>
        </w:div>
        <w:div w:id="1580484779">
          <w:marLeft w:val="562"/>
          <w:marRight w:val="0"/>
          <w:marTop w:val="0"/>
          <w:marBottom w:val="0"/>
          <w:divBdr>
            <w:top w:val="none" w:sz="0" w:space="0" w:color="auto"/>
            <w:left w:val="none" w:sz="0" w:space="0" w:color="auto"/>
            <w:bottom w:val="none" w:sz="0" w:space="0" w:color="auto"/>
            <w:right w:val="none" w:sz="0" w:space="0" w:color="auto"/>
          </w:divBdr>
        </w:div>
        <w:div w:id="1751077172">
          <w:marLeft w:val="562"/>
          <w:marRight w:val="0"/>
          <w:marTop w:val="0"/>
          <w:marBottom w:val="0"/>
          <w:divBdr>
            <w:top w:val="none" w:sz="0" w:space="0" w:color="auto"/>
            <w:left w:val="none" w:sz="0" w:space="0" w:color="auto"/>
            <w:bottom w:val="none" w:sz="0" w:space="0" w:color="auto"/>
            <w:right w:val="none" w:sz="0" w:space="0" w:color="auto"/>
          </w:divBdr>
        </w:div>
        <w:div w:id="1814835096">
          <w:marLeft w:val="562"/>
          <w:marRight w:val="0"/>
          <w:marTop w:val="0"/>
          <w:marBottom w:val="0"/>
          <w:divBdr>
            <w:top w:val="none" w:sz="0" w:space="0" w:color="auto"/>
            <w:left w:val="none" w:sz="0" w:space="0" w:color="auto"/>
            <w:bottom w:val="none" w:sz="0" w:space="0" w:color="auto"/>
            <w:right w:val="none" w:sz="0" w:space="0" w:color="auto"/>
          </w:divBdr>
        </w:div>
        <w:div w:id="1871605429">
          <w:marLeft w:val="562"/>
          <w:marRight w:val="0"/>
          <w:marTop w:val="0"/>
          <w:marBottom w:val="0"/>
          <w:divBdr>
            <w:top w:val="none" w:sz="0" w:space="0" w:color="auto"/>
            <w:left w:val="none" w:sz="0" w:space="0" w:color="auto"/>
            <w:bottom w:val="none" w:sz="0" w:space="0" w:color="auto"/>
            <w:right w:val="none" w:sz="0" w:space="0" w:color="auto"/>
          </w:divBdr>
        </w:div>
        <w:div w:id="1947615740">
          <w:marLeft w:val="562"/>
          <w:marRight w:val="0"/>
          <w:marTop w:val="0"/>
          <w:marBottom w:val="0"/>
          <w:divBdr>
            <w:top w:val="none" w:sz="0" w:space="0" w:color="auto"/>
            <w:left w:val="none" w:sz="0" w:space="0" w:color="auto"/>
            <w:bottom w:val="none" w:sz="0" w:space="0" w:color="auto"/>
            <w:right w:val="none" w:sz="0" w:space="0" w:color="auto"/>
          </w:divBdr>
        </w:div>
        <w:div w:id="1954745385">
          <w:marLeft w:val="562"/>
          <w:marRight w:val="0"/>
          <w:marTop w:val="0"/>
          <w:marBottom w:val="0"/>
          <w:divBdr>
            <w:top w:val="none" w:sz="0" w:space="0" w:color="auto"/>
            <w:left w:val="none" w:sz="0" w:space="0" w:color="auto"/>
            <w:bottom w:val="none" w:sz="0" w:space="0" w:color="auto"/>
            <w:right w:val="none" w:sz="0" w:space="0" w:color="auto"/>
          </w:divBdr>
        </w:div>
        <w:div w:id="2069917107">
          <w:marLeft w:val="835"/>
          <w:marRight w:val="0"/>
          <w:marTop w:val="0"/>
          <w:marBottom w:val="0"/>
          <w:divBdr>
            <w:top w:val="none" w:sz="0" w:space="0" w:color="auto"/>
            <w:left w:val="none" w:sz="0" w:space="0" w:color="auto"/>
            <w:bottom w:val="none" w:sz="0" w:space="0" w:color="auto"/>
            <w:right w:val="none" w:sz="0" w:space="0" w:color="auto"/>
          </w:divBdr>
        </w:div>
      </w:divsChild>
    </w:div>
    <w:div w:id="2031180965">
      <w:bodyDiv w:val="1"/>
      <w:marLeft w:val="0"/>
      <w:marRight w:val="0"/>
      <w:marTop w:val="0"/>
      <w:marBottom w:val="0"/>
      <w:divBdr>
        <w:top w:val="none" w:sz="0" w:space="0" w:color="auto"/>
        <w:left w:val="none" w:sz="0" w:space="0" w:color="auto"/>
        <w:bottom w:val="none" w:sz="0" w:space="0" w:color="auto"/>
        <w:right w:val="none" w:sz="0" w:space="0" w:color="auto"/>
      </w:divBdr>
    </w:div>
    <w:div w:id="2039309382">
      <w:bodyDiv w:val="1"/>
      <w:marLeft w:val="0"/>
      <w:marRight w:val="0"/>
      <w:marTop w:val="0"/>
      <w:marBottom w:val="0"/>
      <w:divBdr>
        <w:top w:val="none" w:sz="0" w:space="0" w:color="auto"/>
        <w:left w:val="none" w:sz="0" w:space="0" w:color="auto"/>
        <w:bottom w:val="none" w:sz="0" w:space="0" w:color="auto"/>
        <w:right w:val="none" w:sz="0" w:space="0" w:color="auto"/>
      </w:divBdr>
    </w:div>
    <w:div w:id="2049260472">
      <w:bodyDiv w:val="1"/>
      <w:marLeft w:val="0"/>
      <w:marRight w:val="0"/>
      <w:marTop w:val="0"/>
      <w:marBottom w:val="0"/>
      <w:divBdr>
        <w:top w:val="none" w:sz="0" w:space="0" w:color="auto"/>
        <w:left w:val="none" w:sz="0" w:space="0" w:color="auto"/>
        <w:bottom w:val="none" w:sz="0" w:space="0" w:color="auto"/>
        <w:right w:val="none" w:sz="0" w:space="0" w:color="auto"/>
      </w:divBdr>
    </w:div>
    <w:div w:id="2052025167">
      <w:bodyDiv w:val="1"/>
      <w:marLeft w:val="0"/>
      <w:marRight w:val="0"/>
      <w:marTop w:val="0"/>
      <w:marBottom w:val="0"/>
      <w:divBdr>
        <w:top w:val="none" w:sz="0" w:space="0" w:color="auto"/>
        <w:left w:val="none" w:sz="0" w:space="0" w:color="auto"/>
        <w:bottom w:val="none" w:sz="0" w:space="0" w:color="auto"/>
        <w:right w:val="none" w:sz="0" w:space="0" w:color="auto"/>
      </w:divBdr>
      <w:divsChild>
        <w:div w:id="528639720">
          <w:marLeft w:val="274"/>
          <w:marRight w:val="0"/>
          <w:marTop w:val="0"/>
          <w:marBottom w:val="0"/>
          <w:divBdr>
            <w:top w:val="none" w:sz="0" w:space="0" w:color="auto"/>
            <w:left w:val="none" w:sz="0" w:space="0" w:color="auto"/>
            <w:bottom w:val="none" w:sz="0" w:space="0" w:color="auto"/>
            <w:right w:val="none" w:sz="0" w:space="0" w:color="auto"/>
          </w:divBdr>
        </w:div>
      </w:divsChild>
    </w:div>
    <w:div w:id="2052148804">
      <w:bodyDiv w:val="1"/>
      <w:marLeft w:val="0"/>
      <w:marRight w:val="0"/>
      <w:marTop w:val="0"/>
      <w:marBottom w:val="0"/>
      <w:divBdr>
        <w:top w:val="none" w:sz="0" w:space="0" w:color="auto"/>
        <w:left w:val="none" w:sz="0" w:space="0" w:color="auto"/>
        <w:bottom w:val="none" w:sz="0" w:space="0" w:color="auto"/>
        <w:right w:val="none" w:sz="0" w:space="0" w:color="auto"/>
      </w:divBdr>
    </w:div>
    <w:div w:id="2091535994">
      <w:bodyDiv w:val="1"/>
      <w:marLeft w:val="0"/>
      <w:marRight w:val="0"/>
      <w:marTop w:val="0"/>
      <w:marBottom w:val="0"/>
      <w:divBdr>
        <w:top w:val="none" w:sz="0" w:space="0" w:color="auto"/>
        <w:left w:val="none" w:sz="0" w:space="0" w:color="auto"/>
        <w:bottom w:val="none" w:sz="0" w:space="0" w:color="auto"/>
        <w:right w:val="none" w:sz="0" w:space="0" w:color="auto"/>
      </w:divBdr>
    </w:div>
    <w:div w:id="2093236847">
      <w:bodyDiv w:val="1"/>
      <w:marLeft w:val="0"/>
      <w:marRight w:val="0"/>
      <w:marTop w:val="0"/>
      <w:marBottom w:val="0"/>
      <w:divBdr>
        <w:top w:val="none" w:sz="0" w:space="0" w:color="auto"/>
        <w:left w:val="none" w:sz="0" w:space="0" w:color="auto"/>
        <w:bottom w:val="none" w:sz="0" w:space="0" w:color="auto"/>
        <w:right w:val="none" w:sz="0" w:space="0" w:color="auto"/>
      </w:divBdr>
      <w:divsChild>
        <w:div w:id="2048794796">
          <w:marLeft w:val="562"/>
          <w:marRight w:val="0"/>
          <w:marTop w:val="0"/>
          <w:marBottom w:val="0"/>
          <w:divBdr>
            <w:top w:val="none" w:sz="0" w:space="0" w:color="auto"/>
            <w:left w:val="none" w:sz="0" w:space="0" w:color="auto"/>
            <w:bottom w:val="none" w:sz="0" w:space="0" w:color="auto"/>
            <w:right w:val="none" w:sz="0" w:space="0" w:color="auto"/>
          </w:divBdr>
        </w:div>
      </w:divsChild>
    </w:div>
    <w:div w:id="2100057668">
      <w:bodyDiv w:val="1"/>
      <w:marLeft w:val="0"/>
      <w:marRight w:val="0"/>
      <w:marTop w:val="0"/>
      <w:marBottom w:val="0"/>
      <w:divBdr>
        <w:top w:val="none" w:sz="0" w:space="0" w:color="auto"/>
        <w:left w:val="none" w:sz="0" w:space="0" w:color="auto"/>
        <w:bottom w:val="none" w:sz="0" w:space="0" w:color="auto"/>
        <w:right w:val="none" w:sz="0" w:space="0" w:color="auto"/>
      </w:divBdr>
    </w:div>
    <w:div w:id="2106656313">
      <w:bodyDiv w:val="1"/>
      <w:marLeft w:val="0"/>
      <w:marRight w:val="0"/>
      <w:marTop w:val="0"/>
      <w:marBottom w:val="0"/>
      <w:divBdr>
        <w:top w:val="none" w:sz="0" w:space="0" w:color="auto"/>
        <w:left w:val="none" w:sz="0" w:space="0" w:color="auto"/>
        <w:bottom w:val="none" w:sz="0" w:space="0" w:color="auto"/>
        <w:right w:val="none" w:sz="0" w:space="0" w:color="auto"/>
      </w:divBdr>
    </w:div>
    <w:div w:id="2107191291">
      <w:bodyDiv w:val="1"/>
      <w:marLeft w:val="0"/>
      <w:marRight w:val="0"/>
      <w:marTop w:val="0"/>
      <w:marBottom w:val="0"/>
      <w:divBdr>
        <w:top w:val="none" w:sz="0" w:space="0" w:color="auto"/>
        <w:left w:val="none" w:sz="0" w:space="0" w:color="auto"/>
        <w:bottom w:val="none" w:sz="0" w:space="0" w:color="auto"/>
        <w:right w:val="none" w:sz="0" w:space="0" w:color="auto"/>
      </w:divBdr>
    </w:div>
    <w:div w:id="2120181315">
      <w:bodyDiv w:val="1"/>
      <w:marLeft w:val="0"/>
      <w:marRight w:val="0"/>
      <w:marTop w:val="0"/>
      <w:marBottom w:val="0"/>
      <w:divBdr>
        <w:top w:val="none" w:sz="0" w:space="0" w:color="auto"/>
        <w:left w:val="none" w:sz="0" w:space="0" w:color="auto"/>
        <w:bottom w:val="none" w:sz="0" w:space="0" w:color="auto"/>
        <w:right w:val="none" w:sz="0" w:space="0" w:color="auto"/>
      </w:divBdr>
    </w:div>
    <w:div w:id="2144497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energypoverty.eu/indicators-data)" TargetMode="External"/><Relationship Id="rId18" Type="http://schemas.openxmlformats.org/officeDocument/2006/relationships/image" Target="media/image8.wmf"/><Relationship Id="rId26" Type="http://schemas.openxmlformats.org/officeDocument/2006/relationships/chart" Target="charts/chart3.xml"/><Relationship Id="rId39"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hyperlink" Target="http://www.poverty.org.uk" TargetMode="External"/><Relationship Id="rId34" Type="http://schemas.openxmlformats.org/officeDocument/2006/relationships/image" Target="media/image12.png"/><Relationship Id="rId42" Type="http://schemas.openxmlformats.org/officeDocument/2006/relationships/hyperlink" Target="https://stat.gov.pl/obszary-tematyczne/inne-opracowania/miasta-wojewodztwa/regiony-polski-2017,6,11.html" TargetMode="External"/><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7.wmf"/><Relationship Id="rId25" Type="http://schemas.openxmlformats.org/officeDocument/2006/relationships/chart" Target="charts/chart2.xml"/><Relationship Id="rId33" Type="http://schemas.openxmlformats.org/officeDocument/2006/relationships/image" Target="media/image11.png"/><Relationship Id="rId38" Type="http://schemas.openxmlformats.org/officeDocument/2006/relationships/image" Target="media/image15.png"/><Relationship Id="rId46" Type="http://schemas.openxmlformats.org/officeDocument/2006/relationships/hyperlink" Target="http://www.insightenergy.org/static_pages/publications"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www.gov.uk" TargetMode="External"/><Relationship Id="rId29" Type="http://schemas.openxmlformats.org/officeDocument/2006/relationships/chart" Target="charts/chart6.xml"/><Relationship Id="rId41" Type="http://schemas.openxmlformats.org/officeDocument/2006/relationships/hyperlink" Target="http://eur-lex.europa.eu/legal-content/EN/TXT/?uri=CELEX%3A52016PC0864R%2801%2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chart" Target="charts/chart1.xml"/><Relationship Id="rId32" Type="http://schemas.openxmlformats.org/officeDocument/2006/relationships/image" Target="media/image10.png"/><Relationship Id="rId37" Type="http://schemas.openxmlformats.org/officeDocument/2006/relationships/chart" Target="charts/chart9.xml"/><Relationship Id="rId40" Type="http://schemas.openxmlformats.org/officeDocument/2006/relationships/image" Target="media/image17.png"/><Relationship Id="rId45" Type="http://schemas.openxmlformats.org/officeDocument/2006/relationships/hyperlink" Target="https://www.bre.co.uk/filelibrary/bredem/BREDEM-2012-specification.pdf" TargetMode="External"/><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footer" Target="footer2.xml"/><Relationship Id="rId28" Type="http://schemas.openxmlformats.org/officeDocument/2006/relationships/chart" Target="charts/chart5.xml"/><Relationship Id="rId36" Type="http://schemas.openxmlformats.org/officeDocument/2006/relationships/image" Target="media/image14.png"/><Relationship Id="rId49"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9.wmf"/><Relationship Id="rId31" Type="http://schemas.openxmlformats.org/officeDocument/2006/relationships/chart" Target="charts/chart8.xml"/><Relationship Id="rId44" Type="http://schemas.openxmlformats.org/officeDocument/2006/relationships/hyperlink" Target="https://stat.gov.pl/files/gfx/portalinformacyjny/pl/defaultaktualnosci/5485/1/6/1/energia_2018.pdf" TargetMode="External"/><Relationship Id="rId52" Type="http://schemas.microsoft.com/office/2016/09/relationships/commentsIds" Target="commentsIds.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chart" Target="charts/chart4.xml"/><Relationship Id="rId30" Type="http://schemas.openxmlformats.org/officeDocument/2006/relationships/chart" Target="charts/chart7.xml"/><Relationship Id="rId35" Type="http://schemas.openxmlformats.org/officeDocument/2006/relationships/image" Target="media/image13.png"/><Relationship Id="rId43" Type="http://schemas.openxmlformats.org/officeDocument/2006/relationships/hyperlink" Target="https://stat.gov.pl/files/gfx/portalinformacyjny/pl/defaultaktualnosci/5485/2/3/1/zuzycie_energii_w_gospodarstwach_domowych_w_2015_r..pdf" TargetMode="External"/><Relationship Id="rId48" Type="http://schemas.openxmlformats.org/officeDocument/2006/relationships/footer" Target="footer3.xml"/><Relationship Id="rId8" Type="http://schemas.openxmlformats.org/officeDocument/2006/relationships/image" Target="media/image1.png"/></Relationships>
</file>

<file path=word/_rels/footnotes.xml.rels><?xml version="1.0" encoding="UTF-8" standalone="yes"?>
<Relationships xmlns="http://schemas.openxmlformats.org/package/2006/relationships"><Relationship Id="rId1" Type="http://schemas.openxmlformats.org/officeDocument/2006/relationships/hyperlink" Target="https://www.mos.gov.pl/czyste-powietrze/"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localhost\\C:\Users\Jakub%20SOKOLOWSKI\Dropbox\Technical%20support%20for%20defining%20measuring%20and%20monitoring%20energy%20poverty%20in%20Poland\Wskazniki\indicators%20-%20results%20v2.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localhost\Users\jakubsokolowski\Dropbox\Technical%20support%20for%20defining%20measuring%20and%20monitoring%20energy%20poverty%20in%20Poland\Wskazniki\wykresy.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localhost\\C:\Users\Jakub%20SOKOLOWSKI\Dropbox\Technical%20support%20for%20defining%20measuring%20and%20monitoring%20energy%20poverty%20in%20Poland\Wskazniki\indicators%20-%20results%20v2.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Jakub%20SOKOLOWSKI\Dropbox\Technical%20support%20for%20defining%20measuring%20and%20monitoring%20energy%20poverty%20in%20Poland\Wskazniki\wykresy.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localhost\Users\jakubsokolowski\Dropbox\Technical%20support%20for%20defining%20measuring%20and%20monitoring%20energy%20poverty%20in%20Poland\Wskazniki\_old\wykresy%20PL.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localhost\Users\jakubsokolowski\Dropbox\Technical%20support%20for%20defining%20measuring%20and%20monitoring%20energy%20poverty%20in%20Poland\Wskazniki\_old\wykresy%20PL.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localhost\Users\jakubsokolowski\Dropbox\Technical%20support%20for%20defining%20measuring%20and%20monitoring%20energy%20poverty%20in%20Poland\Wskazniki\_old\wykresy%20PL.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localhost\Users\jakubsokolowski\Dropbox\Technical%20support%20for%20defining%20measuring%20and%20monitoring%20energy%20poverty%20in%20Poland\Wskazniki\_old\wykresy%20PL.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localhost\Users\jakubsokolowski\Dropbox\Technical%20support%20for%20defining%20measuring%20and%20monitoring%20energy%20poverty%20in%20Poland\Wskazniki\_old\indicators%20-%20results%20v3%20wykresy.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lineChart>
        <c:grouping val="standard"/>
        <c:varyColors val="0"/>
        <c:ser>
          <c:idx val="0"/>
          <c:order val="0"/>
          <c:tx>
            <c:strRef>
              <c:f>'w czasie'!$K$11</c:f>
              <c:strCache>
                <c:ptCount val="1"/>
                <c:pt idx="0">
                  <c:v>LIHC</c:v>
                </c:pt>
              </c:strCache>
            </c:strRef>
          </c:tx>
          <c:marker>
            <c:symbol val="none"/>
          </c:marker>
          <c:cat>
            <c:strRef>
              <c:f>'w czasie'!$A$2:$A$10</c:f>
              <c:strCache>
                <c:ptCount val="5"/>
                <c:pt idx="0">
                  <c:v>2012</c:v>
                </c:pt>
                <c:pt idx="1">
                  <c:v>2013</c:v>
                </c:pt>
                <c:pt idx="2">
                  <c:v>2014</c:v>
                </c:pt>
                <c:pt idx="3">
                  <c:v>2015</c:v>
                </c:pt>
                <c:pt idx="4">
                  <c:v>2016</c:v>
                </c:pt>
              </c:strCache>
            </c:strRef>
          </c:cat>
          <c:val>
            <c:numRef>
              <c:f>'w czasie'!$K$2:$K$10</c:f>
              <c:numCache>
                <c:formatCode>0</c:formatCode>
                <c:ptCount val="5"/>
                <c:pt idx="0">
                  <c:v>11.080693053766771</c:v>
                </c:pt>
                <c:pt idx="1">
                  <c:v>11.023717689804631</c:v>
                </c:pt>
                <c:pt idx="2">
                  <c:v>10.101863919153431</c:v>
                </c:pt>
                <c:pt idx="3">
                  <c:v>10.3054466331245</c:v>
                </c:pt>
                <c:pt idx="4">
                  <c:v>9.8177064633217377</c:v>
                </c:pt>
              </c:numCache>
            </c:numRef>
          </c:val>
          <c:smooth val="0"/>
          <c:extLst xmlns:c16r2="http://schemas.microsoft.com/office/drawing/2015/06/chart">
            <c:ext xmlns:c16="http://schemas.microsoft.com/office/drawing/2014/chart" uri="{C3380CC4-5D6E-409C-BE32-E72D297353CC}">
              <c16:uniqueId val="{00000000-8748-460B-8C4D-AE58252B395B}"/>
            </c:ext>
          </c:extLst>
        </c:ser>
        <c:ser>
          <c:idx val="1"/>
          <c:order val="1"/>
          <c:tx>
            <c:strRef>
              <c:f>'w czasie'!$L$11</c:f>
              <c:strCache>
                <c:ptCount val="1"/>
                <c:pt idx="0">
                  <c:v>10%</c:v>
                </c:pt>
              </c:strCache>
            </c:strRef>
          </c:tx>
          <c:spPr>
            <a:ln>
              <a:solidFill>
                <a:schemeClr val="bg1">
                  <a:lumMod val="50000"/>
                </a:schemeClr>
              </a:solidFill>
            </a:ln>
          </c:spPr>
          <c:marker>
            <c:symbol val="none"/>
          </c:marker>
          <c:cat>
            <c:strRef>
              <c:f>'w czasie'!$A$2:$A$10</c:f>
              <c:strCache>
                <c:ptCount val="5"/>
                <c:pt idx="0">
                  <c:v>2012</c:v>
                </c:pt>
                <c:pt idx="1">
                  <c:v>2013</c:v>
                </c:pt>
                <c:pt idx="2">
                  <c:v>2014</c:v>
                </c:pt>
                <c:pt idx="3">
                  <c:v>2015</c:v>
                </c:pt>
                <c:pt idx="4">
                  <c:v>2016</c:v>
                </c:pt>
              </c:strCache>
            </c:strRef>
          </c:cat>
          <c:val>
            <c:numRef>
              <c:f>'w czasie'!$L$2:$L$10</c:f>
              <c:numCache>
                <c:formatCode>0</c:formatCode>
                <c:ptCount val="5"/>
                <c:pt idx="0">
                  <c:v>63.389870937983453</c:v>
                </c:pt>
                <c:pt idx="1">
                  <c:v>63.131938590558782</c:v>
                </c:pt>
                <c:pt idx="2">
                  <c:v>56.501847983354892</c:v>
                </c:pt>
                <c:pt idx="3">
                  <c:v>53.44750181374809</c:v>
                </c:pt>
                <c:pt idx="4">
                  <c:v>46.749015458566546</c:v>
                </c:pt>
              </c:numCache>
            </c:numRef>
          </c:val>
          <c:smooth val="0"/>
          <c:extLst xmlns:c16r2="http://schemas.microsoft.com/office/drawing/2015/06/chart">
            <c:ext xmlns:c16="http://schemas.microsoft.com/office/drawing/2014/chart" uri="{C3380CC4-5D6E-409C-BE32-E72D297353CC}">
              <c16:uniqueId val="{00000001-8748-460B-8C4D-AE58252B395B}"/>
            </c:ext>
          </c:extLst>
        </c:ser>
        <c:ser>
          <c:idx val="3"/>
          <c:order val="2"/>
          <c:tx>
            <c:strRef>
              <c:f>'w czasie'!$N$11</c:f>
              <c:strCache>
                <c:ptCount val="1"/>
                <c:pt idx="0">
                  <c:v>2M</c:v>
                </c:pt>
              </c:strCache>
            </c:strRef>
          </c:tx>
          <c:spPr>
            <a:ln>
              <a:solidFill>
                <a:schemeClr val="tx1">
                  <a:lumMod val="95000"/>
                  <a:lumOff val="5000"/>
                </a:schemeClr>
              </a:solidFill>
            </a:ln>
          </c:spPr>
          <c:marker>
            <c:symbol val="none"/>
          </c:marker>
          <c:cat>
            <c:strRef>
              <c:f>'w czasie'!$A$2:$A$10</c:f>
              <c:strCache>
                <c:ptCount val="5"/>
                <c:pt idx="0">
                  <c:v>2012</c:v>
                </c:pt>
                <c:pt idx="1">
                  <c:v>2013</c:v>
                </c:pt>
                <c:pt idx="2">
                  <c:v>2014</c:v>
                </c:pt>
                <c:pt idx="3">
                  <c:v>2015</c:v>
                </c:pt>
                <c:pt idx="4">
                  <c:v>2016</c:v>
                </c:pt>
              </c:strCache>
            </c:strRef>
          </c:cat>
          <c:val>
            <c:numRef>
              <c:f>'w czasie'!$N$2:$N$10</c:f>
              <c:numCache>
                <c:formatCode>0</c:formatCode>
                <c:ptCount val="5"/>
                <c:pt idx="0">
                  <c:v>19.450255376196569</c:v>
                </c:pt>
                <c:pt idx="1">
                  <c:v>19.361261871193189</c:v>
                </c:pt>
                <c:pt idx="2">
                  <c:v>18.32338166700762</c:v>
                </c:pt>
                <c:pt idx="3">
                  <c:v>18.39114971054769</c:v>
                </c:pt>
                <c:pt idx="4">
                  <c:v>17.948650822622039</c:v>
                </c:pt>
              </c:numCache>
            </c:numRef>
          </c:val>
          <c:smooth val="0"/>
          <c:extLst xmlns:c16r2="http://schemas.microsoft.com/office/drawing/2015/06/chart">
            <c:ext xmlns:c16="http://schemas.microsoft.com/office/drawing/2014/chart" uri="{C3380CC4-5D6E-409C-BE32-E72D297353CC}">
              <c16:uniqueId val="{00000002-8748-460B-8C4D-AE58252B395B}"/>
            </c:ext>
          </c:extLst>
        </c:ser>
        <c:ser>
          <c:idx val="4"/>
          <c:order val="3"/>
          <c:tx>
            <c:strRef>
              <c:f>'w czasie'!$O$11</c:f>
              <c:strCache>
                <c:ptCount val="1"/>
                <c:pt idx="0">
                  <c:v>HEP</c:v>
                </c:pt>
              </c:strCache>
            </c:strRef>
          </c:tx>
          <c:spPr>
            <a:ln>
              <a:solidFill>
                <a:srgbClr val="FFFF00"/>
              </a:solidFill>
            </a:ln>
          </c:spPr>
          <c:marker>
            <c:symbol val="none"/>
          </c:marker>
          <c:cat>
            <c:strRef>
              <c:f>'w czasie'!$A$2:$A$10</c:f>
              <c:strCache>
                <c:ptCount val="5"/>
                <c:pt idx="0">
                  <c:v>2012</c:v>
                </c:pt>
                <c:pt idx="1">
                  <c:v>2013</c:v>
                </c:pt>
                <c:pt idx="2">
                  <c:v>2014</c:v>
                </c:pt>
                <c:pt idx="3">
                  <c:v>2015</c:v>
                </c:pt>
                <c:pt idx="4">
                  <c:v>2016</c:v>
                </c:pt>
              </c:strCache>
            </c:strRef>
          </c:cat>
          <c:val>
            <c:numRef>
              <c:f>'w czasie'!$O$2:$O$10</c:f>
              <c:numCache>
                <c:formatCode>0</c:formatCode>
                <c:ptCount val="5"/>
                <c:pt idx="0">
                  <c:v>21.753871182233731</c:v>
                </c:pt>
                <c:pt idx="1">
                  <c:v>21.10044059643819</c:v>
                </c:pt>
                <c:pt idx="2">
                  <c:v>20.715094756211531</c:v>
                </c:pt>
                <c:pt idx="3">
                  <c:v>20.57855617817798</c:v>
                </c:pt>
                <c:pt idx="4">
                  <c:v>21.040929154776421</c:v>
                </c:pt>
              </c:numCache>
            </c:numRef>
          </c:val>
          <c:smooth val="0"/>
          <c:extLst xmlns:c16r2="http://schemas.microsoft.com/office/drawing/2015/06/chart">
            <c:ext xmlns:c16="http://schemas.microsoft.com/office/drawing/2014/chart" uri="{C3380CC4-5D6E-409C-BE32-E72D297353CC}">
              <c16:uniqueId val="{00000003-8748-460B-8C4D-AE58252B395B}"/>
            </c:ext>
          </c:extLst>
        </c:ser>
        <c:ser>
          <c:idx val="5"/>
          <c:order val="4"/>
          <c:tx>
            <c:strRef>
              <c:f>'w czasie'!$P$11</c:f>
              <c:strCache>
                <c:ptCount val="1"/>
                <c:pt idx="0">
                  <c:v>BILLS</c:v>
                </c:pt>
              </c:strCache>
            </c:strRef>
          </c:tx>
          <c:spPr>
            <a:ln>
              <a:solidFill>
                <a:schemeClr val="bg1">
                  <a:lumMod val="75000"/>
                </a:schemeClr>
              </a:solidFill>
            </a:ln>
          </c:spPr>
          <c:marker>
            <c:symbol val="none"/>
          </c:marker>
          <c:cat>
            <c:strRef>
              <c:f>'w czasie'!$A$2:$A$10</c:f>
              <c:strCache>
                <c:ptCount val="5"/>
                <c:pt idx="0">
                  <c:v>2012</c:v>
                </c:pt>
                <c:pt idx="1">
                  <c:v>2013</c:v>
                </c:pt>
                <c:pt idx="2">
                  <c:v>2014</c:v>
                </c:pt>
                <c:pt idx="3">
                  <c:v>2015</c:v>
                </c:pt>
                <c:pt idx="4">
                  <c:v>2016</c:v>
                </c:pt>
              </c:strCache>
            </c:strRef>
          </c:cat>
          <c:val>
            <c:numRef>
              <c:f>'w czasie'!$P$2:$P$10</c:f>
              <c:numCache>
                <c:formatCode>General</c:formatCode>
                <c:ptCount val="5"/>
                <c:pt idx="2" formatCode="0">
                  <c:v>4.8505690227396503</c:v>
                </c:pt>
                <c:pt idx="3" formatCode="0">
                  <c:v>3.61928120821741</c:v>
                </c:pt>
                <c:pt idx="4" formatCode="0">
                  <c:v>2.7177111382284118</c:v>
                </c:pt>
              </c:numCache>
            </c:numRef>
          </c:val>
          <c:smooth val="0"/>
          <c:extLst xmlns:c16r2="http://schemas.microsoft.com/office/drawing/2015/06/chart">
            <c:ext xmlns:c16="http://schemas.microsoft.com/office/drawing/2014/chart" uri="{C3380CC4-5D6E-409C-BE32-E72D297353CC}">
              <c16:uniqueId val="{00000004-8748-460B-8C4D-AE58252B395B}"/>
            </c:ext>
          </c:extLst>
        </c:ser>
        <c:ser>
          <c:idx val="6"/>
          <c:order val="5"/>
          <c:tx>
            <c:strRef>
              <c:f>'w czasie'!$Q$11</c:f>
              <c:strCache>
                <c:ptCount val="1"/>
                <c:pt idx="0">
                  <c:v>LEAK</c:v>
                </c:pt>
              </c:strCache>
            </c:strRef>
          </c:tx>
          <c:spPr>
            <a:ln>
              <a:solidFill>
                <a:schemeClr val="accent2">
                  <a:lumMod val="60000"/>
                  <a:lumOff val="40000"/>
                </a:schemeClr>
              </a:solidFill>
            </a:ln>
          </c:spPr>
          <c:marker>
            <c:symbol val="none"/>
          </c:marker>
          <c:cat>
            <c:strRef>
              <c:f>'w czasie'!$A$2:$A$10</c:f>
              <c:strCache>
                <c:ptCount val="5"/>
                <c:pt idx="0">
                  <c:v>2012</c:v>
                </c:pt>
                <c:pt idx="1">
                  <c:v>2013</c:v>
                </c:pt>
                <c:pt idx="2">
                  <c:v>2014</c:v>
                </c:pt>
                <c:pt idx="3">
                  <c:v>2015</c:v>
                </c:pt>
                <c:pt idx="4">
                  <c:v>2016</c:v>
                </c:pt>
              </c:strCache>
            </c:strRef>
          </c:cat>
          <c:val>
            <c:numRef>
              <c:f>'w czasie'!$Q$2:$Q$10</c:f>
              <c:numCache>
                <c:formatCode>0</c:formatCode>
                <c:ptCount val="5"/>
                <c:pt idx="0">
                  <c:v>10.526244620646411</c:v>
                </c:pt>
                <c:pt idx="1">
                  <c:v>9.6371853806508359</c:v>
                </c:pt>
                <c:pt idx="2">
                  <c:v>9.0163105677297786</c:v>
                </c:pt>
                <c:pt idx="3">
                  <c:v>8.1995827942926667</c:v>
                </c:pt>
                <c:pt idx="4">
                  <c:v>7.6576019821204238</c:v>
                </c:pt>
              </c:numCache>
            </c:numRef>
          </c:val>
          <c:smooth val="0"/>
          <c:extLst xmlns:c16r2="http://schemas.microsoft.com/office/drawing/2015/06/chart">
            <c:ext xmlns:c16="http://schemas.microsoft.com/office/drawing/2014/chart" uri="{C3380CC4-5D6E-409C-BE32-E72D297353CC}">
              <c16:uniqueId val="{00000005-8748-460B-8C4D-AE58252B395B}"/>
            </c:ext>
          </c:extLst>
        </c:ser>
        <c:ser>
          <c:idx val="7"/>
          <c:order val="6"/>
          <c:tx>
            <c:strRef>
              <c:f>'w czasie'!$R$11</c:f>
              <c:strCache>
                <c:ptCount val="1"/>
                <c:pt idx="0">
                  <c:v>THERMAL</c:v>
                </c:pt>
              </c:strCache>
            </c:strRef>
          </c:tx>
          <c:marker>
            <c:symbol val="none"/>
          </c:marker>
          <c:cat>
            <c:strRef>
              <c:f>'w czasie'!$A$2:$A$10</c:f>
              <c:strCache>
                <c:ptCount val="5"/>
                <c:pt idx="0">
                  <c:v>2012</c:v>
                </c:pt>
                <c:pt idx="1">
                  <c:v>2013</c:v>
                </c:pt>
                <c:pt idx="2">
                  <c:v>2014</c:v>
                </c:pt>
                <c:pt idx="3">
                  <c:v>2015</c:v>
                </c:pt>
                <c:pt idx="4">
                  <c:v>2016</c:v>
                </c:pt>
              </c:strCache>
            </c:strRef>
          </c:cat>
          <c:val>
            <c:numRef>
              <c:f>'w czasie'!$R$2:$R$10</c:f>
              <c:numCache>
                <c:formatCode>0</c:formatCode>
                <c:ptCount val="5"/>
                <c:pt idx="0">
                  <c:v>13.117440848429951</c:v>
                </c:pt>
                <c:pt idx="1">
                  <c:v>11.900564419671509</c:v>
                </c:pt>
                <c:pt idx="2">
                  <c:v>11.21486698031093</c:v>
                </c:pt>
                <c:pt idx="3">
                  <c:v>10.67474095057438</c:v>
                </c:pt>
                <c:pt idx="4">
                  <c:v>10.03017731931793</c:v>
                </c:pt>
              </c:numCache>
            </c:numRef>
          </c:val>
          <c:smooth val="0"/>
          <c:extLst xmlns:c16r2="http://schemas.microsoft.com/office/drawing/2015/06/chart">
            <c:ext xmlns:c16="http://schemas.microsoft.com/office/drawing/2014/chart" uri="{C3380CC4-5D6E-409C-BE32-E72D297353CC}">
              <c16:uniqueId val="{00000006-8748-460B-8C4D-AE58252B395B}"/>
            </c:ext>
          </c:extLst>
        </c:ser>
        <c:dLbls>
          <c:showLegendKey val="0"/>
          <c:showVal val="0"/>
          <c:showCatName val="0"/>
          <c:showSerName val="0"/>
          <c:showPercent val="0"/>
          <c:showBubbleSize val="0"/>
        </c:dLbls>
        <c:smooth val="0"/>
        <c:axId val="248757616"/>
        <c:axId val="248758400"/>
      </c:lineChart>
      <c:catAx>
        <c:axId val="248757616"/>
        <c:scaling>
          <c:orientation val="minMax"/>
        </c:scaling>
        <c:delete val="0"/>
        <c:axPos val="b"/>
        <c:numFmt formatCode="General" sourceLinked="0"/>
        <c:majorTickMark val="out"/>
        <c:minorTickMark val="none"/>
        <c:tickLblPos val="nextTo"/>
        <c:txPr>
          <a:bodyPr/>
          <a:lstStyle/>
          <a:p>
            <a:pPr>
              <a:defRPr sz="900">
                <a:latin typeface="Arial" panose="020B0604020202020204" pitchFamily="34" charset="0"/>
                <a:cs typeface="Arial" panose="020B0604020202020204" pitchFamily="34" charset="0"/>
              </a:defRPr>
            </a:pPr>
            <a:endParaRPr lang="pl-PL"/>
          </a:p>
        </c:txPr>
        <c:crossAx val="248758400"/>
        <c:crosses val="autoZero"/>
        <c:auto val="1"/>
        <c:lblAlgn val="ctr"/>
        <c:lblOffset val="100"/>
        <c:noMultiLvlLbl val="0"/>
      </c:catAx>
      <c:valAx>
        <c:axId val="248758400"/>
        <c:scaling>
          <c:orientation val="minMax"/>
        </c:scaling>
        <c:delete val="0"/>
        <c:axPos val="l"/>
        <c:numFmt formatCode="0" sourceLinked="1"/>
        <c:majorTickMark val="out"/>
        <c:minorTickMark val="none"/>
        <c:tickLblPos val="nextTo"/>
        <c:txPr>
          <a:bodyPr/>
          <a:lstStyle/>
          <a:p>
            <a:pPr>
              <a:defRPr sz="900">
                <a:latin typeface="Arial" panose="020B0604020202020204" pitchFamily="34" charset="0"/>
                <a:cs typeface="Arial" panose="020B0604020202020204" pitchFamily="34" charset="0"/>
              </a:defRPr>
            </a:pPr>
            <a:endParaRPr lang="pl-PL"/>
          </a:p>
        </c:txPr>
        <c:crossAx val="248757616"/>
        <c:crosses val="autoZero"/>
        <c:crossBetween val="between"/>
      </c:valAx>
    </c:plotArea>
    <c:legend>
      <c:legendPos val="r"/>
      <c:layout/>
      <c:overlay val="0"/>
      <c:txPr>
        <a:bodyPr/>
        <a:lstStyle/>
        <a:p>
          <a:pPr>
            <a:defRPr sz="900">
              <a:latin typeface="Arial" panose="020B0604020202020204" pitchFamily="34" charset="0"/>
              <a:cs typeface="Arial" panose="020B0604020202020204" pitchFamily="34" charset="0"/>
            </a:defRPr>
          </a:pPr>
          <a:endParaRPr lang="pl-PL"/>
        </a:p>
      </c:txPr>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manualLayout>
          <c:layoutTarget val="inner"/>
          <c:xMode val="edge"/>
          <c:yMode val="edge"/>
          <c:x val="6.1171496387396503E-2"/>
          <c:y val="8.3643122676579904E-2"/>
          <c:w val="0.89807664234234397"/>
          <c:h val="0.70651691888885604"/>
        </c:manualLayout>
      </c:layout>
      <c:barChart>
        <c:barDir val="col"/>
        <c:grouping val="clustered"/>
        <c:varyColors val="0"/>
        <c:ser>
          <c:idx val="0"/>
          <c:order val="0"/>
          <c:tx>
            <c:strRef>
              <c:f>[wykresy.xlsx]Arkusz5!$T$2</c:f>
              <c:strCache>
                <c:ptCount val="1"/>
                <c:pt idx="0">
                  <c:v>Energy poverty in 2016</c:v>
                </c:pt>
              </c:strCache>
            </c:strRef>
          </c:tx>
          <c:spPr>
            <a:solidFill>
              <a:schemeClr val="accent2"/>
            </a:solidFill>
            <a:ln>
              <a:noFill/>
            </a:ln>
            <a:effectLst/>
          </c:spPr>
          <c:invertIfNegative val="0"/>
          <c:cat>
            <c:strRef>
              <c:f>[wykresy.xlsx]Arkusz5!$L$42:$S$42</c:f>
              <c:strCache>
                <c:ptCount val="7"/>
                <c:pt idx="0">
                  <c:v>LIHC</c:v>
                </c:pt>
                <c:pt idx="1">
                  <c:v>10%</c:v>
                </c:pt>
                <c:pt idx="2">
                  <c:v>2M</c:v>
                </c:pt>
                <c:pt idx="3">
                  <c:v>HEP</c:v>
                </c:pt>
                <c:pt idx="4">
                  <c:v>BILLS</c:v>
                </c:pt>
                <c:pt idx="5">
                  <c:v>LEAK</c:v>
                </c:pt>
                <c:pt idx="6">
                  <c:v>THERMAL</c:v>
                </c:pt>
              </c:strCache>
            </c:strRef>
          </c:cat>
          <c:val>
            <c:numRef>
              <c:f>[wykresy.xlsx]Arkusz5!$L$2:$S$2</c:f>
              <c:numCache>
                <c:formatCode>0</c:formatCode>
                <c:ptCount val="7"/>
                <c:pt idx="0">
                  <c:v>9.8177064633217341</c:v>
                </c:pt>
                <c:pt idx="1">
                  <c:v>46.749015458566546</c:v>
                </c:pt>
                <c:pt idx="2">
                  <c:v>17.948650822622049</c:v>
                </c:pt>
                <c:pt idx="3">
                  <c:v>21.040929154776421</c:v>
                </c:pt>
                <c:pt idx="4">
                  <c:v>2.7177111382284109</c:v>
                </c:pt>
                <c:pt idx="5">
                  <c:v>7.6576019821204238</c:v>
                </c:pt>
                <c:pt idx="6">
                  <c:v>10.03017731931793</c:v>
                </c:pt>
              </c:numCache>
            </c:numRef>
          </c:val>
          <c:extLst xmlns:c16r2="http://schemas.microsoft.com/office/drawing/2015/06/chart">
            <c:ext xmlns:c16="http://schemas.microsoft.com/office/drawing/2014/chart" uri="{C3380CC4-5D6E-409C-BE32-E72D297353CC}">
              <c16:uniqueId val="{00000000-AC58-462C-86DA-19D350C7EA09}"/>
            </c:ext>
          </c:extLst>
        </c:ser>
        <c:dLbls>
          <c:showLegendKey val="0"/>
          <c:showVal val="0"/>
          <c:showCatName val="0"/>
          <c:showSerName val="0"/>
          <c:showPercent val="0"/>
          <c:showBubbleSize val="0"/>
        </c:dLbls>
        <c:gapWidth val="150"/>
        <c:axId val="339451920"/>
        <c:axId val="339452312"/>
      </c:barChart>
      <c:catAx>
        <c:axId val="339451920"/>
        <c:scaling>
          <c:orientation val="minMax"/>
        </c:scaling>
        <c:delete val="0"/>
        <c:axPos val="b"/>
        <c:numFmt formatCode="General" sourceLinked="0"/>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crossAx val="339452312"/>
        <c:crosses val="autoZero"/>
        <c:auto val="1"/>
        <c:lblAlgn val="ctr"/>
        <c:lblOffset val="100"/>
        <c:noMultiLvlLbl val="0"/>
      </c:catAx>
      <c:valAx>
        <c:axId val="339452312"/>
        <c:scaling>
          <c:orientation val="minMax"/>
        </c:scaling>
        <c:delete val="0"/>
        <c:axPos val="l"/>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crossAx val="339451920"/>
        <c:crosses val="autoZero"/>
        <c:crossBetween val="between"/>
      </c:valAx>
      <c:spPr>
        <a:solidFill>
          <a:schemeClr val="bg1"/>
        </a:solidFill>
        <a:ln>
          <a:no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a:pPr>
      <a:endParaRPr lang="pl-PL"/>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lineChart>
        <c:grouping val="standard"/>
        <c:varyColors val="0"/>
        <c:ser>
          <c:idx val="0"/>
          <c:order val="0"/>
          <c:tx>
            <c:strRef>
              <c:f>'w czasie'!$K$11</c:f>
              <c:strCache>
                <c:ptCount val="1"/>
                <c:pt idx="0">
                  <c:v>LIHC</c:v>
                </c:pt>
              </c:strCache>
            </c:strRef>
          </c:tx>
          <c:marker>
            <c:symbol val="none"/>
          </c:marker>
          <c:cat>
            <c:strRef>
              <c:f>'w czasie'!$A$2:$A$10</c:f>
              <c:strCache>
                <c:ptCount val="5"/>
                <c:pt idx="0">
                  <c:v>2012</c:v>
                </c:pt>
                <c:pt idx="1">
                  <c:v>2013</c:v>
                </c:pt>
                <c:pt idx="2">
                  <c:v>2014</c:v>
                </c:pt>
                <c:pt idx="3">
                  <c:v>2015</c:v>
                </c:pt>
                <c:pt idx="4">
                  <c:v>2016</c:v>
                </c:pt>
              </c:strCache>
            </c:strRef>
          </c:cat>
          <c:val>
            <c:numRef>
              <c:f>'w czasie'!$K$2:$K$10</c:f>
              <c:numCache>
                <c:formatCode>0</c:formatCode>
                <c:ptCount val="5"/>
                <c:pt idx="0">
                  <c:v>11.080693053766771</c:v>
                </c:pt>
                <c:pt idx="1">
                  <c:v>11.023717689804631</c:v>
                </c:pt>
                <c:pt idx="2">
                  <c:v>10.101863919153431</c:v>
                </c:pt>
                <c:pt idx="3">
                  <c:v>10.3054466331245</c:v>
                </c:pt>
                <c:pt idx="4">
                  <c:v>9.8177064633217377</c:v>
                </c:pt>
              </c:numCache>
            </c:numRef>
          </c:val>
          <c:smooth val="0"/>
          <c:extLst xmlns:c16r2="http://schemas.microsoft.com/office/drawing/2015/06/chart">
            <c:ext xmlns:c16="http://schemas.microsoft.com/office/drawing/2014/chart" uri="{C3380CC4-5D6E-409C-BE32-E72D297353CC}">
              <c16:uniqueId val="{00000000-0E08-40FC-ADD4-C4CBC902CBB9}"/>
            </c:ext>
          </c:extLst>
        </c:ser>
        <c:ser>
          <c:idx val="2"/>
          <c:order val="1"/>
          <c:tx>
            <c:strRef>
              <c:f>'w czasie'!$M$11</c:f>
              <c:strCache>
                <c:ptCount val="1"/>
                <c:pt idx="0">
                  <c:v>22%</c:v>
                </c:pt>
              </c:strCache>
            </c:strRef>
          </c:tx>
          <c:spPr>
            <a:ln>
              <a:solidFill>
                <a:schemeClr val="bg1">
                  <a:lumMod val="50000"/>
                </a:schemeClr>
              </a:solidFill>
            </a:ln>
          </c:spPr>
          <c:marker>
            <c:symbol val="none"/>
          </c:marker>
          <c:cat>
            <c:strRef>
              <c:f>'w czasie'!$A$2:$A$10</c:f>
              <c:strCache>
                <c:ptCount val="5"/>
                <c:pt idx="0">
                  <c:v>2012</c:v>
                </c:pt>
                <c:pt idx="1">
                  <c:v>2013</c:v>
                </c:pt>
                <c:pt idx="2">
                  <c:v>2014</c:v>
                </c:pt>
                <c:pt idx="3">
                  <c:v>2015</c:v>
                </c:pt>
                <c:pt idx="4">
                  <c:v>2016</c:v>
                </c:pt>
              </c:strCache>
            </c:strRef>
          </c:cat>
          <c:val>
            <c:numRef>
              <c:f>'w czasie'!$M$2:$M$10</c:f>
              <c:numCache>
                <c:formatCode>0</c:formatCode>
                <c:ptCount val="5"/>
                <c:pt idx="0">
                  <c:v>12.96186870520091</c:v>
                </c:pt>
                <c:pt idx="1">
                  <c:v>12.387771039396659</c:v>
                </c:pt>
                <c:pt idx="2">
                  <c:v>8.8354574929009093</c:v>
                </c:pt>
                <c:pt idx="3">
                  <c:v>7.9839279378645651</c:v>
                </c:pt>
                <c:pt idx="4">
                  <c:v>5.5198992019341908</c:v>
                </c:pt>
              </c:numCache>
            </c:numRef>
          </c:val>
          <c:smooth val="0"/>
          <c:extLst xmlns:c16r2="http://schemas.microsoft.com/office/drawing/2015/06/chart">
            <c:ext xmlns:c16="http://schemas.microsoft.com/office/drawing/2014/chart" uri="{C3380CC4-5D6E-409C-BE32-E72D297353CC}">
              <c16:uniqueId val="{00000001-0E08-40FC-ADD4-C4CBC902CBB9}"/>
            </c:ext>
          </c:extLst>
        </c:ser>
        <c:ser>
          <c:idx val="3"/>
          <c:order val="2"/>
          <c:tx>
            <c:strRef>
              <c:f>'w czasie'!$N$11</c:f>
              <c:strCache>
                <c:ptCount val="1"/>
                <c:pt idx="0">
                  <c:v>2M</c:v>
                </c:pt>
              </c:strCache>
            </c:strRef>
          </c:tx>
          <c:spPr>
            <a:ln>
              <a:solidFill>
                <a:schemeClr val="bg1">
                  <a:lumMod val="85000"/>
                </a:schemeClr>
              </a:solidFill>
            </a:ln>
          </c:spPr>
          <c:marker>
            <c:symbol val="none"/>
          </c:marker>
          <c:cat>
            <c:strRef>
              <c:f>'w czasie'!$A$2:$A$10</c:f>
              <c:strCache>
                <c:ptCount val="5"/>
                <c:pt idx="0">
                  <c:v>2012</c:v>
                </c:pt>
                <c:pt idx="1">
                  <c:v>2013</c:v>
                </c:pt>
                <c:pt idx="2">
                  <c:v>2014</c:v>
                </c:pt>
                <c:pt idx="3">
                  <c:v>2015</c:v>
                </c:pt>
                <c:pt idx="4">
                  <c:v>2016</c:v>
                </c:pt>
              </c:strCache>
            </c:strRef>
          </c:cat>
          <c:val>
            <c:numRef>
              <c:f>'w czasie'!$N$2:$N$10</c:f>
              <c:numCache>
                <c:formatCode>0</c:formatCode>
                <c:ptCount val="5"/>
                <c:pt idx="0">
                  <c:v>19.450255376196569</c:v>
                </c:pt>
                <c:pt idx="1">
                  <c:v>19.361261871193189</c:v>
                </c:pt>
                <c:pt idx="2">
                  <c:v>18.32338166700762</c:v>
                </c:pt>
                <c:pt idx="3">
                  <c:v>18.39114971054769</c:v>
                </c:pt>
                <c:pt idx="4">
                  <c:v>17.948650822622039</c:v>
                </c:pt>
              </c:numCache>
            </c:numRef>
          </c:val>
          <c:smooth val="0"/>
          <c:extLst xmlns:c16r2="http://schemas.microsoft.com/office/drawing/2015/06/chart">
            <c:ext xmlns:c16="http://schemas.microsoft.com/office/drawing/2014/chart" uri="{C3380CC4-5D6E-409C-BE32-E72D297353CC}">
              <c16:uniqueId val="{00000002-0E08-40FC-ADD4-C4CBC902CBB9}"/>
            </c:ext>
          </c:extLst>
        </c:ser>
        <c:ser>
          <c:idx val="4"/>
          <c:order val="3"/>
          <c:tx>
            <c:strRef>
              <c:f>'w czasie'!$O$11</c:f>
              <c:strCache>
                <c:ptCount val="1"/>
                <c:pt idx="0">
                  <c:v>HEP</c:v>
                </c:pt>
              </c:strCache>
            </c:strRef>
          </c:tx>
          <c:spPr>
            <a:ln>
              <a:solidFill>
                <a:srgbClr val="FFFF00"/>
              </a:solidFill>
            </a:ln>
          </c:spPr>
          <c:marker>
            <c:symbol val="none"/>
          </c:marker>
          <c:cat>
            <c:strRef>
              <c:f>'w czasie'!$A$2:$A$10</c:f>
              <c:strCache>
                <c:ptCount val="5"/>
                <c:pt idx="0">
                  <c:v>2012</c:v>
                </c:pt>
                <c:pt idx="1">
                  <c:v>2013</c:v>
                </c:pt>
                <c:pt idx="2">
                  <c:v>2014</c:v>
                </c:pt>
                <c:pt idx="3">
                  <c:v>2015</c:v>
                </c:pt>
                <c:pt idx="4">
                  <c:v>2016</c:v>
                </c:pt>
              </c:strCache>
            </c:strRef>
          </c:cat>
          <c:val>
            <c:numRef>
              <c:f>'w czasie'!$O$2:$O$10</c:f>
              <c:numCache>
                <c:formatCode>0</c:formatCode>
                <c:ptCount val="5"/>
                <c:pt idx="0">
                  <c:v>21.753871182233731</c:v>
                </c:pt>
                <c:pt idx="1">
                  <c:v>21.10044059643819</c:v>
                </c:pt>
                <c:pt idx="2">
                  <c:v>20.715094756211531</c:v>
                </c:pt>
                <c:pt idx="3">
                  <c:v>20.57855617817798</c:v>
                </c:pt>
                <c:pt idx="4">
                  <c:v>21.040929154776421</c:v>
                </c:pt>
              </c:numCache>
            </c:numRef>
          </c:val>
          <c:smooth val="0"/>
          <c:extLst xmlns:c16r2="http://schemas.microsoft.com/office/drawing/2015/06/chart">
            <c:ext xmlns:c16="http://schemas.microsoft.com/office/drawing/2014/chart" uri="{C3380CC4-5D6E-409C-BE32-E72D297353CC}">
              <c16:uniqueId val="{00000003-0E08-40FC-ADD4-C4CBC902CBB9}"/>
            </c:ext>
          </c:extLst>
        </c:ser>
        <c:ser>
          <c:idx val="5"/>
          <c:order val="4"/>
          <c:tx>
            <c:strRef>
              <c:f>'w czasie'!$P$11</c:f>
              <c:strCache>
                <c:ptCount val="1"/>
                <c:pt idx="0">
                  <c:v>BILLS</c:v>
                </c:pt>
              </c:strCache>
            </c:strRef>
          </c:tx>
          <c:spPr>
            <a:ln>
              <a:solidFill>
                <a:schemeClr val="accent2">
                  <a:lumMod val="20000"/>
                  <a:lumOff val="80000"/>
                </a:schemeClr>
              </a:solidFill>
            </a:ln>
          </c:spPr>
          <c:marker>
            <c:symbol val="none"/>
          </c:marker>
          <c:cat>
            <c:strRef>
              <c:f>'w czasie'!$A$2:$A$10</c:f>
              <c:strCache>
                <c:ptCount val="5"/>
                <c:pt idx="0">
                  <c:v>2012</c:v>
                </c:pt>
                <c:pt idx="1">
                  <c:v>2013</c:v>
                </c:pt>
                <c:pt idx="2">
                  <c:v>2014</c:v>
                </c:pt>
                <c:pt idx="3">
                  <c:v>2015</c:v>
                </c:pt>
                <c:pt idx="4">
                  <c:v>2016</c:v>
                </c:pt>
              </c:strCache>
            </c:strRef>
          </c:cat>
          <c:val>
            <c:numRef>
              <c:f>'w czasie'!$P$2:$P$10</c:f>
              <c:numCache>
                <c:formatCode>General</c:formatCode>
                <c:ptCount val="5"/>
                <c:pt idx="2" formatCode="0">
                  <c:v>4.8505690227396503</c:v>
                </c:pt>
                <c:pt idx="3" formatCode="0">
                  <c:v>3.61928120821741</c:v>
                </c:pt>
                <c:pt idx="4" formatCode="0">
                  <c:v>2.7177111382284118</c:v>
                </c:pt>
              </c:numCache>
            </c:numRef>
          </c:val>
          <c:smooth val="0"/>
          <c:extLst xmlns:c16r2="http://schemas.microsoft.com/office/drawing/2015/06/chart">
            <c:ext xmlns:c16="http://schemas.microsoft.com/office/drawing/2014/chart" uri="{C3380CC4-5D6E-409C-BE32-E72D297353CC}">
              <c16:uniqueId val="{00000004-0E08-40FC-ADD4-C4CBC902CBB9}"/>
            </c:ext>
          </c:extLst>
        </c:ser>
        <c:ser>
          <c:idx val="6"/>
          <c:order val="5"/>
          <c:tx>
            <c:strRef>
              <c:f>'w czasie'!$Q$11</c:f>
              <c:strCache>
                <c:ptCount val="1"/>
                <c:pt idx="0">
                  <c:v>LEAK</c:v>
                </c:pt>
              </c:strCache>
            </c:strRef>
          </c:tx>
          <c:marker>
            <c:symbol val="none"/>
          </c:marker>
          <c:cat>
            <c:strRef>
              <c:f>'w czasie'!$A$2:$A$10</c:f>
              <c:strCache>
                <c:ptCount val="5"/>
                <c:pt idx="0">
                  <c:v>2012</c:v>
                </c:pt>
                <c:pt idx="1">
                  <c:v>2013</c:v>
                </c:pt>
                <c:pt idx="2">
                  <c:v>2014</c:v>
                </c:pt>
                <c:pt idx="3">
                  <c:v>2015</c:v>
                </c:pt>
                <c:pt idx="4">
                  <c:v>2016</c:v>
                </c:pt>
              </c:strCache>
            </c:strRef>
          </c:cat>
          <c:val>
            <c:numRef>
              <c:f>'w czasie'!$Q$2:$Q$10</c:f>
              <c:numCache>
                <c:formatCode>0</c:formatCode>
                <c:ptCount val="5"/>
                <c:pt idx="0">
                  <c:v>10.526244620646411</c:v>
                </c:pt>
                <c:pt idx="1">
                  <c:v>9.6371853806508359</c:v>
                </c:pt>
                <c:pt idx="2">
                  <c:v>9.0163105677297786</c:v>
                </c:pt>
                <c:pt idx="3">
                  <c:v>8.1995827942926667</c:v>
                </c:pt>
                <c:pt idx="4">
                  <c:v>7.6576019821204238</c:v>
                </c:pt>
              </c:numCache>
            </c:numRef>
          </c:val>
          <c:smooth val="0"/>
          <c:extLst xmlns:c16r2="http://schemas.microsoft.com/office/drawing/2015/06/chart">
            <c:ext xmlns:c16="http://schemas.microsoft.com/office/drawing/2014/chart" uri="{C3380CC4-5D6E-409C-BE32-E72D297353CC}">
              <c16:uniqueId val="{00000005-0E08-40FC-ADD4-C4CBC902CBB9}"/>
            </c:ext>
          </c:extLst>
        </c:ser>
        <c:ser>
          <c:idx val="7"/>
          <c:order val="6"/>
          <c:tx>
            <c:strRef>
              <c:f>'w czasie'!$R$11</c:f>
              <c:strCache>
                <c:ptCount val="1"/>
                <c:pt idx="0">
                  <c:v>THERMAL</c:v>
                </c:pt>
              </c:strCache>
            </c:strRef>
          </c:tx>
          <c:spPr>
            <a:ln>
              <a:solidFill>
                <a:schemeClr val="tx1">
                  <a:lumMod val="95000"/>
                  <a:lumOff val="5000"/>
                </a:schemeClr>
              </a:solidFill>
            </a:ln>
          </c:spPr>
          <c:marker>
            <c:symbol val="none"/>
          </c:marker>
          <c:cat>
            <c:strRef>
              <c:f>'w czasie'!$A$2:$A$10</c:f>
              <c:strCache>
                <c:ptCount val="5"/>
                <c:pt idx="0">
                  <c:v>2012</c:v>
                </c:pt>
                <c:pt idx="1">
                  <c:v>2013</c:v>
                </c:pt>
                <c:pt idx="2">
                  <c:v>2014</c:v>
                </c:pt>
                <c:pt idx="3">
                  <c:v>2015</c:v>
                </c:pt>
                <c:pt idx="4">
                  <c:v>2016</c:v>
                </c:pt>
              </c:strCache>
            </c:strRef>
          </c:cat>
          <c:val>
            <c:numRef>
              <c:f>'w czasie'!$R$2:$R$10</c:f>
              <c:numCache>
                <c:formatCode>0</c:formatCode>
                <c:ptCount val="5"/>
                <c:pt idx="0">
                  <c:v>13.117440848429951</c:v>
                </c:pt>
                <c:pt idx="1">
                  <c:v>11.900564419671509</c:v>
                </c:pt>
                <c:pt idx="2">
                  <c:v>11.21486698031093</c:v>
                </c:pt>
                <c:pt idx="3">
                  <c:v>10.67474095057438</c:v>
                </c:pt>
                <c:pt idx="4">
                  <c:v>10.03017731931793</c:v>
                </c:pt>
              </c:numCache>
            </c:numRef>
          </c:val>
          <c:smooth val="0"/>
          <c:extLst xmlns:c16r2="http://schemas.microsoft.com/office/drawing/2015/06/chart">
            <c:ext xmlns:c16="http://schemas.microsoft.com/office/drawing/2014/chart" uri="{C3380CC4-5D6E-409C-BE32-E72D297353CC}">
              <c16:uniqueId val="{00000006-0E08-40FC-ADD4-C4CBC902CBB9}"/>
            </c:ext>
          </c:extLst>
        </c:ser>
        <c:dLbls>
          <c:showLegendKey val="0"/>
          <c:showVal val="0"/>
          <c:showCatName val="0"/>
          <c:showSerName val="0"/>
          <c:showPercent val="0"/>
          <c:showBubbleSize val="0"/>
        </c:dLbls>
        <c:smooth val="0"/>
        <c:axId val="348342616"/>
        <c:axId val="348343008"/>
      </c:lineChart>
      <c:catAx>
        <c:axId val="348342616"/>
        <c:scaling>
          <c:orientation val="minMax"/>
        </c:scaling>
        <c:delete val="0"/>
        <c:axPos val="b"/>
        <c:numFmt formatCode="General" sourceLinked="0"/>
        <c:majorTickMark val="out"/>
        <c:minorTickMark val="none"/>
        <c:tickLblPos val="nextTo"/>
        <c:txPr>
          <a:bodyPr/>
          <a:lstStyle/>
          <a:p>
            <a:pPr>
              <a:defRPr sz="900">
                <a:latin typeface="Arial" panose="020B0604020202020204" pitchFamily="34" charset="0"/>
                <a:cs typeface="Arial" panose="020B0604020202020204" pitchFamily="34" charset="0"/>
              </a:defRPr>
            </a:pPr>
            <a:endParaRPr lang="pl-PL"/>
          </a:p>
        </c:txPr>
        <c:crossAx val="348343008"/>
        <c:crosses val="autoZero"/>
        <c:auto val="1"/>
        <c:lblAlgn val="ctr"/>
        <c:lblOffset val="100"/>
        <c:noMultiLvlLbl val="0"/>
      </c:catAx>
      <c:valAx>
        <c:axId val="348343008"/>
        <c:scaling>
          <c:orientation val="minMax"/>
        </c:scaling>
        <c:delete val="0"/>
        <c:axPos val="l"/>
        <c:numFmt formatCode="0" sourceLinked="1"/>
        <c:majorTickMark val="out"/>
        <c:minorTickMark val="none"/>
        <c:tickLblPos val="nextTo"/>
        <c:txPr>
          <a:bodyPr/>
          <a:lstStyle/>
          <a:p>
            <a:pPr>
              <a:defRPr sz="900">
                <a:latin typeface="Arial" panose="020B0604020202020204" pitchFamily="34" charset="0"/>
                <a:cs typeface="Arial" panose="020B0604020202020204" pitchFamily="34" charset="0"/>
              </a:defRPr>
            </a:pPr>
            <a:endParaRPr lang="pl-PL"/>
          </a:p>
        </c:txPr>
        <c:crossAx val="348342616"/>
        <c:crosses val="autoZero"/>
        <c:crossBetween val="between"/>
      </c:valAx>
    </c:plotArea>
    <c:legend>
      <c:legendPos val="r"/>
      <c:layout/>
      <c:overlay val="0"/>
      <c:txPr>
        <a:bodyPr/>
        <a:lstStyle/>
        <a:p>
          <a:pPr>
            <a:defRPr sz="900">
              <a:latin typeface="Arial" panose="020B0604020202020204" pitchFamily="34" charset="0"/>
              <a:cs typeface="Arial" panose="020B0604020202020204" pitchFamily="34" charset="0"/>
            </a:defRPr>
          </a:pPr>
          <a:endParaRPr lang="pl-PL"/>
        </a:p>
      </c:txPr>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barChart>
        <c:barDir val="col"/>
        <c:grouping val="clustered"/>
        <c:varyColors val="0"/>
        <c:ser>
          <c:idx val="0"/>
          <c:order val="0"/>
          <c:tx>
            <c:strRef>
              <c:f>Arkusz4!$T$2</c:f>
              <c:strCache>
                <c:ptCount val="1"/>
                <c:pt idx="0">
                  <c:v>Energy poverty in 2016</c:v>
                </c:pt>
              </c:strCache>
            </c:strRef>
          </c:tx>
          <c:invertIfNegative val="0"/>
          <c:cat>
            <c:strRef>
              <c:f>Arkusz4!$L$42:$S$42</c:f>
              <c:strCache>
                <c:ptCount val="7"/>
                <c:pt idx="0">
                  <c:v>LIHC</c:v>
                </c:pt>
                <c:pt idx="1">
                  <c:v>22%</c:v>
                </c:pt>
                <c:pt idx="2">
                  <c:v>2M</c:v>
                </c:pt>
                <c:pt idx="3">
                  <c:v>HEP</c:v>
                </c:pt>
                <c:pt idx="4">
                  <c:v>BILLS</c:v>
                </c:pt>
                <c:pt idx="5">
                  <c:v>LEAK</c:v>
                </c:pt>
                <c:pt idx="6">
                  <c:v>THERMAL</c:v>
                </c:pt>
              </c:strCache>
            </c:strRef>
          </c:cat>
          <c:val>
            <c:numRef>
              <c:f>Arkusz4!$L$2:$S$2</c:f>
              <c:numCache>
                <c:formatCode>0</c:formatCode>
                <c:ptCount val="7"/>
                <c:pt idx="0">
                  <c:v>9.8177064633217377</c:v>
                </c:pt>
                <c:pt idx="1">
                  <c:v>5.5198992019341908</c:v>
                </c:pt>
                <c:pt idx="2">
                  <c:v>17.948650822622039</c:v>
                </c:pt>
                <c:pt idx="3">
                  <c:v>21.040929154776421</c:v>
                </c:pt>
                <c:pt idx="4">
                  <c:v>2.7177111382284118</c:v>
                </c:pt>
                <c:pt idx="5">
                  <c:v>7.6576019821204238</c:v>
                </c:pt>
                <c:pt idx="6">
                  <c:v>10.03017731931793</c:v>
                </c:pt>
              </c:numCache>
            </c:numRef>
          </c:val>
          <c:extLst xmlns:c16r2="http://schemas.microsoft.com/office/drawing/2015/06/chart">
            <c:ext xmlns:c16="http://schemas.microsoft.com/office/drawing/2014/chart" uri="{C3380CC4-5D6E-409C-BE32-E72D297353CC}">
              <c16:uniqueId val="{00000000-398F-40B2-A0C2-3CB8B0CDA0B2}"/>
            </c:ext>
          </c:extLst>
        </c:ser>
        <c:dLbls>
          <c:showLegendKey val="0"/>
          <c:showVal val="0"/>
          <c:showCatName val="0"/>
          <c:showSerName val="0"/>
          <c:showPercent val="0"/>
          <c:showBubbleSize val="0"/>
        </c:dLbls>
        <c:gapWidth val="150"/>
        <c:axId val="348343792"/>
        <c:axId val="345960296"/>
      </c:barChart>
      <c:catAx>
        <c:axId val="348343792"/>
        <c:scaling>
          <c:orientation val="minMax"/>
        </c:scaling>
        <c:delete val="0"/>
        <c:axPos val="b"/>
        <c:numFmt formatCode="General" sourceLinked="0"/>
        <c:majorTickMark val="out"/>
        <c:minorTickMark val="none"/>
        <c:tickLblPos val="nextTo"/>
        <c:txPr>
          <a:bodyPr/>
          <a:lstStyle/>
          <a:p>
            <a:pPr>
              <a:defRPr sz="900">
                <a:latin typeface="Arial" panose="020B0604020202020204" pitchFamily="34" charset="0"/>
                <a:cs typeface="Arial" panose="020B0604020202020204" pitchFamily="34" charset="0"/>
              </a:defRPr>
            </a:pPr>
            <a:endParaRPr lang="pl-PL"/>
          </a:p>
        </c:txPr>
        <c:crossAx val="345960296"/>
        <c:crosses val="autoZero"/>
        <c:auto val="1"/>
        <c:lblAlgn val="ctr"/>
        <c:lblOffset val="100"/>
        <c:noMultiLvlLbl val="0"/>
      </c:catAx>
      <c:valAx>
        <c:axId val="345960296"/>
        <c:scaling>
          <c:orientation val="minMax"/>
        </c:scaling>
        <c:delete val="0"/>
        <c:axPos val="l"/>
        <c:numFmt formatCode="0" sourceLinked="1"/>
        <c:majorTickMark val="out"/>
        <c:minorTickMark val="none"/>
        <c:tickLblPos val="nextTo"/>
        <c:txPr>
          <a:bodyPr/>
          <a:lstStyle/>
          <a:p>
            <a:pPr>
              <a:defRPr sz="900">
                <a:latin typeface="Arial" panose="020B0604020202020204" pitchFamily="34" charset="0"/>
                <a:cs typeface="Arial" panose="020B0604020202020204" pitchFamily="34" charset="0"/>
              </a:defRPr>
            </a:pPr>
            <a:endParaRPr lang="pl-PL"/>
          </a:p>
        </c:txPr>
        <c:crossAx val="348343792"/>
        <c:crosses val="autoZero"/>
        <c:crossBetween val="between"/>
      </c:valAx>
    </c:plotArea>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barChart>
        <c:barDir val="col"/>
        <c:grouping val="clustered"/>
        <c:varyColors val="0"/>
        <c:ser>
          <c:idx val="0"/>
          <c:order val="0"/>
          <c:tx>
            <c:strRef>
              <c:f>'[wykresy PL.xlsx]Arkusz4'!$B$21</c:f>
              <c:strCache>
                <c:ptCount val="1"/>
                <c:pt idx="0">
                  <c:v>jednorodzinny</c:v>
                </c:pt>
              </c:strCache>
            </c:strRef>
          </c:tx>
          <c:spPr>
            <a:solidFill>
              <a:schemeClr val="accent2">
                <a:shade val="76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PL.xlsx]Arkusz4'!$L$21:$S$21</c:f>
              <c:numCache>
                <c:formatCode>0</c:formatCode>
                <c:ptCount val="7"/>
                <c:pt idx="0">
                  <c:v>14.146762398343199</c:v>
                </c:pt>
                <c:pt idx="1">
                  <c:v>7.1873453336254416</c:v>
                </c:pt>
                <c:pt idx="2">
                  <c:v>20.17974941851978</c:v>
                </c:pt>
                <c:pt idx="3">
                  <c:v>29.440586930748179</c:v>
                </c:pt>
                <c:pt idx="4">
                  <c:v>2.1242212841107651</c:v>
                </c:pt>
                <c:pt idx="5">
                  <c:v>8.0775164793776302</c:v>
                </c:pt>
                <c:pt idx="6">
                  <c:v>8.9505885049376896</c:v>
                </c:pt>
              </c:numCache>
            </c:numRef>
          </c:val>
        </c:ser>
        <c:ser>
          <c:idx val="1"/>
          <c:order val="1"/>
          <c:tx>
            <c:strRef>
              <c:f>'[wykresy PL.xlsx]Arkusz4'!$B$22</c:f>
              <c:strCache>
                <c:ptCount val="1"/>
                <c:pt idx="0">
                  <c:v>wielorodzinny</c:v>
                </c:pt>
              </c:strCache>
            </c:strRef>
          </c:tx>
          <c:spPr>
            <a:solidFill>
              <a:schemeClr val="accent2">
                <a:tint val="77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PL.xlsx]Arkusz4'!$L$22:$S$22</c:f>
              <c:numCache>
                <c:formatCode>0</c:formatCode>
                <c:ptCount val="7"/>
                <c:pt idx="0">
                  <c:v>6.2275152888764991</c:v>
                </c:pt>
                <c:pt idx="1">
                  <c:v>4.1370456477836788</c:v>
                </c:pt>
                <c:pt idx="2">
                  <c:v>16.09834659728071</c:v>
                </c:pt>
                <c:pt idx="3">
                  <c:v>14.07488906005432</c:v>
                </c:pt>
                <c:pt idx="4">
                  <c:v>3.209906681173134</c:v>
                </c:pt>
                <c:pt idx="5">
                  <c:v>7.3093566961497851</c:v>
                </c:pt>
                <c:pt idx="6">
                  <c:v>10.925506530026899</c:v>
                </c:pt>
              </c:numCache>
            </c:numRef>
          </c:val>
        </c:ser>
        <c:dLbls>
          <c:showLegendKey val="0"/>
          <c:showVal val="0"/>
          <c:showCatName val="0"/>
          <c:showSerName val="0"/>
          <c:showPercent val="0"/>
          <c:showBubbleSize val="0"/>
        </c:dLbls>
        <c:gapWidth val="150"/>
        <c:axId val="345961864"/>
        <c:axId val="345964392"/>
      </c:barChart>
      <c:catAx>
        <c:axId val="345961864"/>
        <c:scaling>
          <c:orientation val="minMax"/>
        </c:scaling>
        <c:delete val="0"/>
        <c:axPos val="b"/>
        <c:numFmt formatCode="General" sourceLinked="0"/>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crossAx val="345964392"/>
        <c:crosses val="autoZero"/>
        <c:auto val="1"/>
        <c:lblAlgn val="ctr"/>
        <c:lblOffset val="100"/>
        <c:noMultiLvlLbl val="0"/>
      </c:catAx>
      <c:valAx>
        <c:axId val="345964392"/>
        <c:scaling>
          <c:orientation val="minMax"/>
        </c:scaling>
        <c:delete val="0"/>
        <c:axPos val="l"/>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crossAx val="345961864"/>
        <c:crosses val="autoZero"/>
        <c:crossBetween val="between"/>
      </c:valAx>
      <c:spPr>
        <a:solidFill>
          <a:schemeClr val="bg1"/>
        </a:solidFill>
        <a:ln>
          <a:noFill/>
        </a:ln>
        <a:effectLst/>
      </c:spPr>
    </c:plotArea>
    <c:legend>
      <c:legendPos val="r"/>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legend>
    <c:plotVisOnly val="1"/>
    <c:dispBlanksAs val="gap"/>
    <c:showDLblsOverMax val="0"/>
  </c:chart>
  <c:spPr>
    <a:solidFill>
      <a:schemeClr val="bg1"/>
    </a:solidFill>
    <a:ln w="9525" cap="flat" cmpd="sng" algn="ctr">
      <a:noFill/>
      <a:prstDash val="solid"/>
      <a:round/>
    </a:ln>
    <a:effectLst/>
  </c:spPr>
  <c:txPr>
    <a:bodyPr/>
    <a:lstStyle/>
    <a:p>
      <a:pPr>
        <a:defRPr/>
      </a:pPr>
      <a:endParaRPr lang="pl-PL"/>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barChart>
        <c:barDir val="col"/>
        <c:grouping val="clustered"/>
        <c:varyColors val="0"/>
        <c:ser>
          <c:idx val="0"/>
          <c:order val="0"/>
          <c:tx>
            <c:strRef>
              <c:f>'[wykresy PL.xlsx]Arkusz4'!$A$24</c:f>
              <c:strCache>
                <c:ptCount val="1"/>
                <c:pt idx="0">
                  <c:v>przed 1946 r.</c:v>
                </c:pt>
              </c:strCache>
            </c:strRef>
          </c:tx>
          <c:spPr>
            <a:solidFill>
              <a:schemeClr val="accent2">
                <a:shade val="5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PL.xlsx]Arkusz4'!$L$24:$S$24</c:f>
              <c:numCache>
                <c:formatCode>0</c:formatCode>
                <c:ptCount val="7"/>
                <c:pt idx="0">
                  <c:v>17.906656955386669</c:v>
                </c:pt>
                <c:pt idx="1">
                  <c:v>10.34933280791477</c:v>
                </c:pt>
                <c:pt idx="2">
                  <c:v>22.872743683834081</c:v>
                </c:pt>
                <c:pt idx="3">
                  <c:v>26.632104019591761</c:v>
                </c:pt>
                <c:pt idx="4">
                  <c:v>3.4786564347092761</c:v>
                </c:pt>
                <c:pt idx="5">
                  <c:v>20.102649274503278</c:v>
                </c:pt>
                <c:pt idx="6">
                  <c:v>15.87317231836065</c:v>
                </c:pt>
              </c:numCache>
            </c:numRef>
          </c:val>
        </c:ser>
        <c:ser>
          <c:idx val="1"/>
          <c:order val="1"/>
          <c:tx>
            <c:strRef>
              <c:f>'[wykresy PL.xlsx]Arkusz4'!$B$43</c:f>
              <c:strCache>
                <c:ptCount val="1"/>
                <c:pt idx="0">
                  <c:v>1946 – 1960</c:v>
                </c:pt>
              </c:strCache>
            </c:strRef>
          </c:tx>
          <c:spPr>
            <a:solidFill>
              <a:schemeClr val="accent2">
                <a:shade val="7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PL.xlsx]Arkusz4'!$L$25:$S$25</c:f>
              <c:numCache>
                <c:formatCode>0</c:formatCode>
                <c:ptCount val="7"/>
                <c:pt idx="0">
                  <c:v>11.97883480070422</c:v>
                </c:pt>
                <c:pt idx="1">
                  <c:v>8.2521079145973193</c:v>
                </c:pt>
                <c:pt idx="2">
                  <c:v>21.490994557238569</c:v>
                </c:pt>
                <c:pt idx="3">
                  <c:v>28.509824802907509</c:v>
                </c:pt>
                <c:pt idx="4">
                  <c:v>2.932228440369927</c:v>
                </c:pt>
                <c:pt idx="5">
                  <c:v>12.839768123695141</c:v>
                </c:pt>
                <c:pt idx="6">
                  <c:v>13.39060891435547</c:v>
                </c:pt>
              </c:numCache>
            </c:numRef>
          </c:val>
        </c:ser>
        <c:ser>
          <c:idx val="2"/>
          <c:order val="2"/>
          <c:tx>
            <c:strRef>
              <c:f>'[wykresy PL.xlsx]Arkusz4'!$B$44</c:f>
              <c:strCache>
                <c:ptCount val="1"/>
                <c:pt idx="0">
                  <c:v>1961 – 1980</c:v>
                </c:pt>
              </c:strCache>
            </c:strRef>
          </c:tx>
          <c:spPr>
            <a:solidFill>
              <a:schemeClr val="accent2">
                <a:shade val="9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PL.xlsx]Arkusz4'!$L$26:$S$26</c:f>
              <c:numCache>
                <c:formatCode>0</c:formatCode>
                <c:ptCount val="7"/>
                <c:pt idx="0">
                  <c:v>14.523698109222041</c:v>
                </c:pt>
                <c:pt idx="1">
                  <c:v>7.0862168464991084</c:v>
                </c:pt>
                <c:pt idx="2">
                  <c:v>20.380981630593471</c:v>
                </c:pt>
                <c:pt idx="3">
                  <c:v>29.608544015079119</c:v>
                </c:pt>
                <c:pt idx="4">
                  <c:v>2.1712253358593641</c:v>
                </c:pt>
                <c:pt idx="5">
                  <c:v>6.0715755495501949</c:v>
                </c:pt>
                <c:pt idx="6">
                  <c:v>8.1263629302832356</c:v>
                </c:pt>
              </c:numCache>
            </c:numRef>
          </c:val>
        </c:ser>
        <c:ser>
          <c:idx val="3"/>
          <c:order val="3"/>
          <c:tx>
            <c:strRef>
              <c:f>'[wykresy PL.xlsx]Arkusz4'!$B$45</c:f>
              <c:strCache>
                <c:ptCount val="1"/>
                <c:pt idx="0">
                  <c:v>1981 – 1995</c:v>
                </c:pt>
              </c:strCache>
            </c:strRef>
          </c:tx>
          <c:spPr>
            <a:solidFill>
              <a:schemeClr val="accent2">
                <a:tint val="9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PL.xlsx]Arkusz4'!$L$27:$S$27</c:f>
              <c:numCache>
                <c:formatCode>0</c:formatCode>
                <c:ptCount val="7"/>
                <c:pt idx="0">
                  <c:v>16.310026063307369</c:v>
                </c:pt>
                <c:pt idx="1">
                  <c:v>6.5087762529113871</c:v>
                </c:pt>
                <c:pt idx="2">
                  <c:v>20.266780157427121</c:v>
                </c:pt>
                <c:pt idx="3">
                  <c:v>29.22654768943508</c:v>
                </c:pt>
                <c:pt idx="4">
                  <c:v>1.189717913793632</c:v>
                </c:pt>
                <c:pt idx="5">
                  <c:v>3.7572416005842428</c:v>
                </c:pt>
                <c:pt idx="6">
                  <c:v>6.1700892671704377</c:v>
                </c:pt>
              </c:numCache>
            </c:numRef>
          </c:val>
        </c:ser>
        <c:ser>
          <c:idx val="4"/>
          <c:order val="4"/>
          <c:tx>
            <c:strRef>
              <c:f>'[wykresy PL.xlsx]Arkusz4'!$B$46</c:f>
              <c:strCache>
                <c:ptCount val="1"/>
                <c:pt idx="0">
                  <c:v>1996 – 2006</c:v>
                </c:pt>
              </c:strCache>
            </c:strRef>
          </c:tx>
          <c:spPr>
            <a:solidFill>
              <a:schemeClr val="accent2">
                <a:tint val="7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PL.xlsx]Arkusz4'!$L$28:$S$28</c:f>
              <c:numCache>
                <c:formatCode>0</c:formatCode>
                <c:ptCount val="7"/>
                <c:pt idx="0">
                  <c:v>10.33676927002095</c:v>
                </c:pt>
                <c:pt idx="1">
                  <c:v>4.693207962975718</c:v>
                </c:pt>
                <c:pt idx="2">
                  <c:v>16.751314400596002</c:v>
                </c:pt>
                <c:pt idx="3">
                  <c:v>31.57751938735932</c:v>
                </c:pt>
                <c:pt idx="4">
                  <c:v>1.0062771066869809</c:v>
                </c:pt>
                <c:pt idx="5">
                  <c:v>0.25416450120686901</c:v>
                </c:pt>
                <c:pt idx="6">
                  <c:v>2.7276291607393399</c:v>
                </c:pt>
              </c:numCache>
            </c:numRef>
          </c:val>
        </c:ser>
        <c:ser>
          <c:idx val="5"/>
          <c:order val="5"/>
          <c:tx>
            <c:strRef>
              <c:f>'[wykresy PL.xlsx]Arkusz4'!$A$29</c:f>
              <c:strCache>
                <c:ptCount val="1"/>
                <c:pt idx="0">
                  <c:v>po 2007 r.</c:v>
                </c:pt>
              </c:strCache>
            </c:strRef>
          </c:tx>
          <c:spPr>
            <a:solidFill>
              <a:schemeClr val="accent2">
                <a:tint val="5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PL.xlsx]Arkusz4'!$L$29:$S$29</c:f>
              <c:numCache>
                <c:formatCode>0</c:formatCode>
                <c:ptCount val="7"/>
                <c:pt idx="0">
                  <c:v>5.418813015860855</c:v>
                </c:pt>
                <c:pt idx="1">
                  <c:v>2.4668362987924142</c:v>
                </c:pt>
                <c:pt idx="2">
                  <c:v>13.510056570285339</c:v>
                </c:pt>
                <c:pt idx="3">
                  <c:v>36.064140869039427</c:v>
                </c:pt>
                <c:pt idx="4">
                  <c:v>1.0325167514374021</c:v>
                </c:pt>
                <c:pt idx="5">
                  <c:v>0.27327323459401898</c:v>
                </c:pt>
                <c:pt idx="6">
                  <c:v>2.387058190096178</c:v>
                </c:pt>
              </c:numCache>
            </c:numRef>
          </c:val>
        </c:ser>
        <c:dLbls>
          <c:showLegendKey val="0"/>
          <c:showVal val="0"/>
          <c:showCatName val="0"/>
          <c:showSerName val="0"/>
          <c:showPercent val="0"/>
          <c:showBubbleSize val="0"/>
        </c:dLbls>
        <c:gapWidth val="150"/>
        <c:axId val="345965176"/>
        <c:axId val="345965568"/>
      </c:barChart>
      <c:catAx>
        <c:axId val="345965176"/>
        <c:scaling>
          <c:orientation val="minMax"/>
        </c:scaling>
        <c:delete val="0"/>
        <c:axPos val="b"/>
        <c:numFmt formatCode="General" sourceLinked="0"/>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crossAx val="345965568"/>
        <c:crosses val="autoZero"/>
        <c:auto val="1"/>
        <c:lblAlgn val="ctr"/>
        <c:lblOffset val="100"/>
        <c:noMultiLvlLbl val="0"/>
      </c:catAx>
      <c:valAx>
        <c:axId val="345965568"/>
        <c:scaling>
          <c:orientation val="minMax"/>
        </c:scaling>
        <c:delete val="0"/>
        <c:axPos val="l"/>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crossAx val="345965176"/>
        <c:crosses val="autoZero"/>
        <c:crossBetween val="between"/>
      </c:valAx>
      <c:spPr>
        <a:solidFill>
          <a:schemeClr val="bg1"/>
        </a:solidFill>
        <a:ln>
          <a:noFill/>
        </a:ln>
        <a:effectLst/>
      </c:spPr>
    </c:plotArea>
    <c:legend>
      <c:legendPos val="b"/>
      <c:layout>
        <c:manualLayout>
          <c:xMode val="edge"/>
          <c:yMode val="edge"/>
          <c:x val="7.2354975479181696E-2"/>
          <c:y val="0.87327216053478196"/>
          <c:w val="0.87486953054918803"/>
          <c:h val="0.1267278394652180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legend>
    <c:plotVisOnly val="1"/>
    <c:dispBlanksAs val="gap"/>
    <c:showDLblsOverMax val="0"/>
  </c:chart>
  <c:spPr>
    <a:solidFill>
      <a:schemeClr val="bg1"/>
    </a:solidFill>
    <a:ln w="9525" cap="flat" cmpd="sng" algn="ctr">
      <a:noFill/>
      <a:prstDash val="solid"/>
      <a:round/>
    </a:ln>
    <a:effectLst/>
  </c:spPr>
  <c:txPr>
    <a:bodyPr/>
    <a:lstStyle/>
    <a:p>
      <a:pPr>
        <a:defRPr/>
      </a:pPr>
      <a:endParaRPr lang="pl-PL"/>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barChart>
        <c:barDir val="col"/>
        <c:grouping val="clustered"/>
        <c:varyColors val="0"/>
        <c:ser>
          <c:idx val="0"/>
          <c:order val="0"/>
          <c:tx>
            <c:strRef>
              <c:f>'[wykresy PL.xlsx]Arkusz4'!$A$24</c:f>
              <c:strCache>
                <c:ptCount val="1"/>
                <c:pt idx="0">
                  <c:v>przed 1946 r.</c:v>
                </c:pt>
              </c:strCache>
            </c:strRef>
          </c:tx>
          <c:spPr>
            <a:solidFill>
              <a:schemeClr val="accent2">
                <a:shade val="5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PL.xlsx]Arkusz4'!$L$30:$S$30</c:f>
              <c:numCache>
                <c:formatCode>0</c:formatCode>
                <c:ptCount val="7"/>
                <c:pt idx="0">
                  <c:v>10.3737780297044</c:v>
                </c:pt>
                <c:pt idx="1">
                  <c:v>6.867350227413672</c:v>
                </c:pt>
                <c:pt idx="2">
                  <c:v>22.057034753929742</c:v>
                </c:pt>
                <c:pt idx="3">
                  <c:v>17.985391013219889</c:v>
                </c:pt>
                <c:pt idx="4">
                  <c:v>7.1724699548071271</c:v>
                </c:pt>
                <c:pt idx="5">
                  <c:v>23.763524290664481</c:v>
                </c:pt>
                <c:pt idx="6">
                  <c:v>27.374032237978319</c:v>
                </c:pt>
              </c:numCache>
            </c:numRef>
          </c:val>
        </c:ser>
        <c:ser>
          <c:idx val="1"/>
          <c:order val="1"/>
          <c:tx>
            <c:strRef>
              <c:f>'[wykresy PL.xlsx]Arkusz4'!$B$43</c:f>
              <c:strCache>
                <c:ptCount val="1"/>
                <c:pt idx="0">
                  <c:v>1946 – 1960</c:v>
                </c:pt>
              </c:strCache>
            </c:strRef>
          </c:tx>
          <c:spPr>
            <a:solidFill>
              <a:schemeClr val="accent2">
                <a:shade val="7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PL.xlsx]Arkusz4'!$L$31:$S$31</c:f>
              <c:numCache>
                <c:formatCode>0</c:formatCode>
                <c:ptCount val="7"/>
                <c:pt idx="0">
                  <c:v>6.908875067371925</c:v>
                </c:pt>
                <c:pt idx="1">
                  <c:v>4.6698941534644121</c:v>
                </c:pt>
                <c:pt idx="2">
                  <c:v>18.53206485358146</c:v>
                </c:pt>
                <c:pt idx="3">
                  <c:v>15.534247780588339</c:v>
                </c:pt>
                <c:pt idx="4">
                  <c:v>4.4814588687995949</c:v>
                </c:pt>
                <c:pt idx="5">
                  <c:v>9.8991400657751143</c:v>
                </c:pt>
                <c:pt idx="6">
                  <c:v>15.748783406549309</c:v>
                </c:pt>
              </c:numCache>
            </c:numRef>
          </c:val>
        </c:ser>
        <c:ser>
          <c:idx val="2"/>
          <c:order val="2"/>
          <c:tx>
            <c:strRef>
              <c:f>'[wykresy PL.xlsx]Arkusz4'!$B$44</c:f>
              <c:strCache>
                <c:ptCount val="1"/>
                <c:pt idx="0">
                  <c:v>1961 – 1980</c:v>
                </c:pt>
              </c:strCache>
            </c:strRef>
          </c:tx>
          <c:spPr>
            <a:solidFill>
              <a:schemeClr val="accent2">
                <a:shade val="9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PL.xlsx]Arkusz4'!$L$32:$S$32</c:f>
              <c:numCache>
                <c:formatCode>0</c:formatCode>
                <c:ptCount val="7"/>
                <c:pt idx="0">
                  <c:v>5.3637162324201908</c:v>
                </c:pt>
                <c:pt idx="1">
                  <c:v>3.61508276282161</c:v>
                </c:pt>
                <c:pt idx="2">
                  <c:v>16.203522234991109</c:v>
                </c:pt>
                <c:pt idx="3">
                  <c:v>10.4291025336733</c:v>
                </c:pt>
                <c:pt idx="4">
                  <c:v>2.4439710080269581</c:v>
                </c:pt>
                <c:pt idx="5">
                  <c:v>3.2830655307286118</c:v>
                </c:pt>
                <c:pt idx="6">
                  <c:v>6.9410638775704738</c:v>
                </c:pt>
              </c:numCache>
            </c:numRef>
          </c:val>
        </c:ser>
        <c:ser>
          <c:idx val="3"/>
          <c:order val="3"/>
          <c:tx>
            <c:strRef>
              <c:f>'[wykresy PL.xlsx]Arkusz4'!$B$45</c:f>
              <c:strCache>
                <c:ptCount val="1"/>
                <c:pt idx="0">
                  <c:v>1981 – 1995</c:v>
                </c:pt>
              </c:strCache>
            </c:strRef>
          </c:tx>
          <c:spPr>
            <a:solidFill>
              <a:schemeClr val="accent2">
                <a:tint val="9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PL.xlsx]Arkusz4'!$L$33:$S$33</c:f>
              <c:numCache>
                <c:formatCode>0</c:formatCode>
                <c:ptCount val="7"/>
                <c:pt idx="0">
                  <c:v>5.8534883153472466</c:v>
                </c:pt>
                <c:pt idx="1">
                  <c:v>3.1240249935253468</c:v>
                </c:pt>
                <c:pt idx="2">
                  <c:v>13.63147301774168</c:v>
                </c:pt>
                <c:pt idx="3">
                  <c:v>9.5811531293674808</c:v>
                </c:pt>
                <c:pt idx="4">
                  <c:v>1.728146649616036</c:v>
                </c:pt>
                <c:pt idx="5">
                  <c:v>2.2606468290684778</c:v>
                </c:pt>
                <c:pt idx="6">
                  <c:v>5.2064655077047997</c:v>
                </c:pt>
              </c:numCache>
            </c:numRef>
          </c:val>
        </c:ser>
        <c:ser>
          <c:idx val="4"/>
          <c:order val="4"/>
          <c:tx>
            <c:strRef>
              <c:f>'[wykresy PL.xlsx]Arkusz4'!$B$46</c:f>
              <c:strCache>
                <c:ptCount val="1"/>
                <c:pt idx="0">
                  <c:v>1996 – 2006</c:v>
                </c:pt>
              </c:strCache>
            </c:strRef>
          </c:tx>
          <c:spPr>
            <a:solidFill>
              <a:schemeClr val="accent2">
                <a:tint val="7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PL.xlsx]Arkusz4'!$L$34:$S$34</c:f>
              <c:numCache>
                <c:formatCode>0</c:formatCode>
                <c:ptCount val="7"/>
                <c:pt idx="0">
                  <c:v>4.1806490474077176</c:v>
                </c:pt>
                <c:pt idx="1">
                  <c:v>3.6477474103030461</c:v>
                </c:pt>
                <c:pt idx="2">
                  <c:v>11.32310731060408</c:v>
                </c:pt>
                <c:pt idx="3">
                  <c:v>19.973950713921269</c:v>
                </c:pt>
                <c:pt idx="4">
                  <c:v>1.072409967684083</c:v>
                </c:pt>
                <c:pt idx="5">
                  <c:v>1.8832846155634999</c:v>
                </c:pt>
                <c:pt idx="6">
                  <c:v>5.1476294630767461</c:v>
                </c:pt>
              </c:numCache>
            </c:numRef>
          </c:val>
        </c:ser>
        <c:ser>
          <c:idx val="5"/>
          <c:order val="5"/>
          <c:tx>
            <c:strRef>
              <c:f>'[wykresy PL.xlsx]Arkusz4'!$A$35</c:f>
              <c:strCache>
                <c:ptCount val="1"/>
                <c:pt idx="0">
                  <c:v>po 2007 r.</c:v>
                </c:pt>
              </c:strCache>
            </c:strRef>
          </c:tx>
          <c:spPr>
            <a:solidFill>
              <a:schemeClr val="accent2">
                <a:tint val="50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PL.xlsx]Arkusz4'!$L$35:$S$35</c:f>
              <c:numCache>
                <c:formatCode>0</c:formatCode>
                <c:ptCount val="7"/>
                <c:pt idx="0">
                  <c:v>1.422270438954053</c:v>
                </c:pt>
                <c:pt idx="1">
                  <c:v>2.24298459335157</c:v>
                </c:pt>
                <c:pt idx="2">
                  <c:v>6.5243635780334266</c:v>
                </c:pt>
                <c:pt idx="3">
                  <c:v>31.43610745459819</c:v>
                </c:pt>
                <c:pt idx="4">
                  <c:v>0.98110816047674898</c:v>
                </c:pt>
                <c:pt idx="5">
                  <c:v>0.94034342263442094</c:v>
                </c:pt>
                <c:pt idx="6">
                  <c:v>3.1586494890825421</c:v>
                </c:pt>
              </c:numCache>
            </c:numRef>
          </c:val>
        </c:ser>
        <c:dLbls>
          <c:showLegendKey val="0"/>
          <c:showVal val="0"/>
          <c:showCatName val="0"/>
          <c:showSerName val="0"/>
          <c:showPercent val="0"/>
          <c:showBubbleSize val="0"/>
        </c:dLbls>
        <c:gapWidth val="150"/>
        <c:axId val="347416000"/>
        <c:axId val="347416392"/>
      </c:barChart>
      <c:catAx>
        <c:axId val="347416000"/>
        <c:scaling>
          <c:orientation val="minMax"/>
        </c:scaling>
        <c:delete val="0"/>
        <c:axPos val="b"/>
        <c:numFmt formatCode="General" sourceLinked="0"/>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crossAx val="347416392"/>
        <c:crosses val="autoZero"/>
        <c:auto val="1"/>
        <c:lblAlgn val="ctr"/>
        <c:lblOffset val="100"/>
        <c:noMultiLvlLbl val="0"/>
      </c:catAx>
      <c:valAx>
        <c:axId val="347416392"/>
        <c:scaling>
          <c:orientation val="minMax"/>
        </c:scaling>
        <c:delete val="0"/>
        <c:axPos val="l"/>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crossAx val="347416000"/>
        <c:crosses val="autoZero"/>
        <c:crossBetween val="between"/>
      </c:valAx>
      <c:spPr>
        <a:solidFill>
          <a:schemeClr val="bg1"/>
        </a:solid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legend>
    <c:plotVisOnly val="1"/>
    <c:dispBlanksAs val="gap"/>
    <c:showDLblsOverMax val="0"/>
  </c:chart>
  <c:spPr>
    <a:solidFill>
      <a:schemeClr val="bg1"/>
    </a:solidFill>
    <a:ln w="9525" cap="flat" cmpd="sng" algn="ctr">
      <a:noFill/>
      <a:prstDash val="solid"/>
      <a:round/>
    </a:ln>
    <a:effectLst/>
  </c:spPr>
  <c:txPr>
    <a:bodyPr/>
    <a:lstStyle/>
    <a:p>
      <a:pPr>
        <a:defRPr/>
      </a:pPr>
      <a:endParaRPr lang="pl-PL"/>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manualLayout>
          <c:layoutTarget val="inner"/>
          <c:xMode val="edge"/>
          <c:yMode val="edge"/>
          <c:x val="6.1126522669567397E-2"/>
          <c:y val="4.5960756584762202E-2"/>
          <c:w val="0.70028724715554302"/>
          <c:h val="0.81666325987130906"/>
        </c:manualLayout>
      </c:layout>
      <c:barChart>
        <c:barDir val="col"/>
        <c:grouping val="clustered"/>
        <c:varyColors val="0"/>
        <c:ser>
          <c:idx val="0"/>
          <c:order val="0"/>
          <c:tx>
            <c:strRef>
              <c:f>'[wykresy PL.xlsx]Arkusz4'!$B$37</c:f>
              <c:strCache>
                <c:ptCount val="1"/>
                <c:pt idx="0">
                  <c:v>praca najemna na stanowisku robotniczym</c:v>
                </c:pt>
              </c:strCache>
            </c:strRef>
          </c:tx>
          <c:spPr>
            <a:solidFill>
              <a:schemeClr val="accent2">
                <a:shade val="53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PL.xlsx]Arkusz4'!$L$37:$S$37</c:f>
              <c:numCache>
                <c:formatCode>0</c:formatCode>
                <c:ptCount val="7"/>
                <c:pt idx="0">
                  <c:v>9.8944070783886993</c:v>
                </c:pt>
                <c:pt idx="1">
                  <c:v>3.3657615395528291</c:v>
                </c:pt>
                <c:pt idx="2">
                  <c:v>13.27624076491969</c:v>
                </c:pt>
                <c:pt idx="3">
                  <c:v>23.46020541783545</c:v>
                </c:pt>
                <c:pt idx="4">
                  <c:v>2.9313665990153241</c:v>
                </c:pt>
                <c:pt idx="5">
                  <c:v>10.96134928541958</c:v>
                </c:pt>
                <c:pt idx="6">
                  <c:v>11.90402307289588</c:v>
                </c:pt>
              </c:numCache>
            </c:numRef>
          </c:val>
        </c:ser>
        <c:ser>
          <c:idx val="1"/>
          <c:order val="1"/>
          <c:tx>
            <c:strRef>
              <c:f>'[wykresy PL.xlsx]Arkusz4'!$B$38</c:f>
              <c:strCache>
                <c:ptCount val="1"/>
                <c:pt idx="0">
                  <c:v>praca najemna na stanowisku nierobotniczym</c:v>
                </c:pt>
              </c:strCache>
            </c:strRef>
          </c:tx>
          <c:spPr>
            <a:solidFill>
              <a:schemeClr val="accent2">
                <a:shade val="76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PL.xlsx]Arkusz4'!$L$38:$S$38</c:f>
              <c:numCache>
                <c:formatCode>0</c:formatCode>
                <c:ptCount val="7"/>
                <c:pt idx="0">
                  <c:v>3.7758738832161831</c:v>
                </c:pt>
                <c:pt idx="1">
                  <c:v>1.6712642873285939</c:v>
                </c:pt>
                <c:pt idx="2">
                  <c:v>9.8372520473736689</c:v>
                </c:pt>
                <c:pt idx="3">
                  <c:v>24.247233082132571</c:v>
                </c:pt>
                <c:pt idx="4">
                  <c:v>1.073595765130912</c:v>
                </c:pt>
                <c:pt idx="5">
                  <c:v>4.5138333315028873</c:v>
                </c:pt>
                <c:pt idx="6">
                  <c:v>6.8480069361701146</c:v>
                </c:pt>
              </c:numCache>
            </c:numRef>
          </c:val>
        </c:ser>
        <c:ser>
          <c:idx val="2"/>
          <c:order val="2"/>
          <c:tx>
            <c:strRef>
              <c:f>'[wykresy PL.xlsx]Arkusz4'!$B$39</c:f>
              <c:strCache>
                <c:ptCount val="1"/>
                <c:pt idx="0">
                  <c:v>użytkowanie gospodarstwa rolnego</c:v>
                </c:pt>
              </c:strCache>
            </c:strRef>
          </c:tx>
          <c:spPr>
            <a:solidFill>
              <a:schemeClr val="accent2"/>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PL.xlsx]Arkusz4'!$L$39:$S$39</c:f>
              <c:numCache>
                <c:formatCode>0</c:formatCode>
                <c:ptCount val="7"/>
                <c:pt idx="0">
                  <c:v>29.982625780386609</c:v>
                </c:pt>
                <c:pt idx="1">
                  <c:v>15.49556790131763</c:v>
                </c:pt>
                <c:pt idx="2">
                  <c:v>17.092672753673469</c:v>
                </c:pt>
                <c:pt idx="3">
                  <c:v>47.445219807031997</c:v>
                </c:pt>
                <c:pt idx="4">
                  <c:v>1.2870209587887249</c:v>
                </c:pt>
                <c:pt idx="5">
                  <c:v>6.1521726026196024</c:v>
                </c:pt>
                <c:pt idx="6">
                  <c:v>7.1829803849978866</c:v>
                </c:pt>
              </c:numCache>
            </c:numRef>
          </c:val>
        </c:ser>
        <c:ser>
          <c:idx val="3"/>
          <c:order val="3"/>
          <c:tx>
            <c:strRef>
              <c:f>'[wykresy PL.xlsx]Arkusz4'!$B$40</c:f>
              <c:strCache>
                <c:ptCount val="1"/>
                <c:pt idx="0">
                  <c:v>praca na własny rachunek</c:v>
                </c:pt>
              </c:strCache>
            </c:strRef>
          </c:tx>
          <c:spPr>
            <a:solidFill>
              <a:schemeClr val="accent2">
                <a:tint val="77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PL.xlsx]Arkusz4'!$L$40:$S$40</c:f>
              <c:numCache>
                <c:formatCode>0</c:formatCode>
                <c:ptCount val="7"/>
                <c:pt idx="0">
                  <c:v>6.1548005530136818</c:v>
                </c:pt>
                <c:pt idx="1">
                  <c:v>2.8170018929473342</c:v>
                </c:pt>
                <c:pt idx="2">
                  <c:v>13.35954294003955</c:v>
                </c:pt>
                <c:pt idx="3">
                  <c:v>27.39834450914546</c:v>
                </c:pt>
                <c:pt idx="4">
                  <c:v>1.3142552424376119</c:v>
                </c:pt>
                <c:pt idx="5">
                  <c:v>3.6007658935541431</c:v>
                </c:pt>
                <c:pt idx="6">
                  <c:v>6.1762559035384781</c:v>
                </c:pt>
              </c:numCache>
            </c:numRef>
          </c:val>
        </c:ser>
        <c:ser>
          <c:idx val="4"/>
          <c:order val="4"/>
          <c:tx>
            <c:strRef>
              <c:f>'[wykresy PL.xlsx]Arkusz4'!$B$41</c:f>
              <c:strCache>
                <c:ptCount val="1"/>
                <c:pt idx="0">
                  <c:v>emerytura, renta lub inne niezarobkowe źrodło</c:v>
                </c:pt>
              </c:strCache>
            </c:strRef>
          </c:tx>
          <c:spPr>
            <a:solidFill>
              <a:schemeClr val="accent2">
                <a:tint val="54000"/>
              </a:schemeClr>
            </a:solidFill>
            <a:ln>
              <a:noFill/>
            </a:ln>
            <a:effectLst/>
          </c:spPr>
          <c:invertIfNegative val="0"/>
          <c:cat>
            <c:strRef>
              <c:f>'[wykresy PL.xlsx]Arkusz4'!$L$42:$S$42</c:f>
              <c:strCache>
                <c:ptCount val="7"/>
                <c:pt idx="0">
                  <c:v>LIHC</c:v>
                </c:pt>
                <c:pt idx="1">
                  <c:v>22%</c:v>
                </c:pt>
                <c:pt idx="2">
                  <c:v>2M</c:v>
                </c:pt>
                <c:pt idx="3">
                  <c:v>HEP</c:v>
                </c:pt>
                <c:pt idx="4">
                  <c:v>BILLS</c:v>
                </c:pt>
                <c:pt idx="5">
                  <c:v>LEAK</c:v>
                </c:pt>
                <c:pt idx="6">
                  <c:v>THERMAL</c:v>
                </c:pt>
              </c:strCache>
            </c:strRef>
          </c:cat>
          <c:val>
            <c:numRef>
              <c:f>'[wykresy PL.xlsx]Arkusz4'!$L$41:$S$41</c:f>
              <c:numCache>
                <c:formatCode>0</c:formatCode>
                <c:ptCount val="7"/>
                <c:pt idx="0">
                  <c:v>12.31798149665657</c:v>
                </c:pt>
                <c:pt idx="1">
                  <c:v>8.9962081833415652</c:v>
                </c:pt>
                <c:pt idx="2">
                  <c:v>27.68825411710197</c:v>
                </c:pt>
                <c:pt idx="3">
                  <c:v>12.983880643240649</c:v>
                </c:pt>
                <c:pt idx="4">
                  <c:v>4.1385913726473484</c:v>
                </c:pt>
                <c:pt idx="5">
                  <c:v>8.5257686734694431</c:v>
                </c:pt>
                <c:pt idx="6">
                  <c:v>12.00822628003858</c:v>
                </c:pt>
              </c:numCache>
            </c:numRef>
          </c:val>
        </c:ser>
        <c:dLbls>
          <c:showLegendKey val="0"/>
          <c:showVal val="0"/>
          <c:showCatName val="0"/>
          <c:showSerName val="0"/>
          <c:showPercent val="0"/>
          <c:showBubbleSize val="0"/>
        </c:dLbls>
        <c:gapWidth val="150"/>
        <c:axId val="347417176"/>
        <c:axId val="347417568"/>
      </c:barChart>
      <c:catAx>
        <c:axId val="347417176"/>
        <c:scaling>
          <c:orientation val="minMax"/>
        </c:scaling>
        <c:delete val="0"/>
        <c:axPos val="b"/>
        <c:numFmt formatCode="General" sourceLinked="0"/>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crossAx val="347417568"/>
        <c:crosses val="autoZero"/>
        <c:auto val="1"/>
        <c:lblAlgn val="ctr"/>
        <c:lblOffset val="100"/>
        <c:noMultiLvlLbl val="0"/>
      </c:catAx>
      <c:valAx>
        <c:axId val="347417568"/>
        <c:scaling>
          <c:orientation val="minMax"/>
        </c:scaling>
        <c:delete val="0"/>
        <c:axPos val="l"/>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crossAx val="347417176"/>
        <c:crosses val="autoZero"/>
        <c:crossBetween val="between"/>
      </c:valAx>
      <c:spPr>
        <a:solidFill>
          <a:schemeClr val="bg1"/>
        </a:solidFill>
        <a:ln>
          <a:noFill/>
        </a:ln>
        <a:effectLst/>
      </c:spPr>
    </c:plotArea>
    <c:legend>
      <c:legendPos val="r"/>
      <c:layout>
        <c:manualLayout>
          <c:xMode val="edge"/>
          <c:yMode val="edge"/>
          <c:x val="0.77761184919569903"/>
          <c:y val="0.108457920575024"/>
          <c:w val="0.22238815080430099"/>
          <c:h val="0.7936902089112639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charset="0"/>
              <a:ea typeface="Arial" charset="0"/>
              <a:cs typeface="Arial" charset="0"/>
            </a:defRPr>
          </a:pPr>
          <a:endParaRPr lang="pl-PL"/>
        </a:p>
      </c:txPr>
    </c:legend>
    <c:plotVisOnly val="1"/>
    <c:dispBlanksAs val="gap"/>
    <c:showDLblsOverMax val="0"/>
  </c:chart>
  <c:spPr>
    <a:solidFill>
      <a:schemeClr val="bg1"/>
    </a:solidFill>
    <a:ln w="9525" cap="flat" cmpd="sng" algn="ctr">
      <a:noFill/>
      <a:prstDash val="solid"/>
      <a:round/>
    </a:ln>
    <a:effectLst/>
  </c:spPr>
  <c:txPr>
    <a:bodyPr/>
    <a:lstStyle/>
    <a:p>
      <a:pPr>
        <a:defRPr/>
      </a:pPr>
      <a:endParaRPr lang="pl-PL"/>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0"/>
    <c:plotArea>
      <c:layout>
        <c:manualLayout>
          <c:layoutTarget val="inner"/>
          <c:xMode val="edge"/>
          <c:yMode val="edge"/>
          <c:x val="6.7969816272965902E-2"/>
          <c:y val="6.0185185185185203E-2"/>
          <c:w val="0.69410914260717405"/>
          <c:h val="0.83010061242344702"/>
        </c:manualLayout>
      </c:layout>
      <c:barChart>
        <c:barDir val="col"/>
        <c:grouping val="clustered"/>
        <c:varyColors val="0"/>
        <c:ser>
          <c:idx val="0"/>
          <c:order val="0"/>
          <c:tx>
            <c:strRef>
              <c:f>'[indicators - results v3 wykresy.xls]2016'!$R$33</c:f>
              <c:strCache>
                <c:ptCount val="1"/>
                <c:pt idx="0">
                  <c:v>ogrzewanie centralne</c:v>
                </c:pt>
              </c:strCache>
            </c:strRef>
          </c:tx>
          <c:spPr>
            <a:solidFill>
              <a:schemeClr val="accent2">
                <a:shade val="65000"/>
              </a:schemeClr>
            </a:solidFill>
            <a:ln>
              <a:noFill/>
            </a:ln>
            <a:effectLst/>
          </c:spPr>
          <c:invertIfNegative val="0"/>
          <c:cat>
            <c:strRef>
              <c:f>'[indicators - results v3 wykresy.xls]2016'!$J$42:$O$42</c:f>
              <c:strCache>
                <c:ptCount val="5"/>
                <c:pt idx="0">
                  <c:v>LIHC</c:v>
                </c:pt>
                <c:pt idx="1">
                  <c:v>22%</c:v>
                </c:pt>
                <c:pt idx="2">
                  <c:v>2M</c:v>
                </c:pt>
                <c:pt idx="3">
                  <c:v>LEAK</c:v>
                </c:pt>
                <c:pt idx="4">
                  <c:v>THERMAL</c:v>
                </c:pt>
              </c:strCache>
            </c:strRef>
          </c:cat>
          <c:val>
            <c:numRef>
              <c:f>'[indicators - results v3 wykresy.xls]2016'!$J$43:$O$43</c:f>
              <c:numCache>
                <c:formatCode>0</c:formatCode>
                <c:ptCount val="5"/>
                <c:pt idx="0">
                  <c:v>9.0048860272225006</c:v>
                </c:pt>
                <c:pt idx="1">
                  <c:v>4.58536812188445</c:v>
                </c:pt>
                <c:pt idx="2">
                  <c:v>16.65909607185332</c:v>
                </c:pt>
                <c:pt idx="3">
                  <c:v>5.0437139575518186</c:v>
                </c:pt>
                <c:pt idx="4">
                  <c:v>7.3089992244692557</c:v>
                </c:pt>
              </c:numCache>
            </c:numRef>
          </c:val>
        </c:ser>
        <c:ser>
          <c:idx val="1"/>
          <c:order val="1"/>
          <c:tx>
            <c:strRef>
              <c:f>'[indicators - results v3 wykresy.xls]2016'!$R$34</c:f>
              <c:strCache>
                <c:ptCount val="1"/>
                <c:pt idx="0">
                  <c:v>piece na opał (węgiel, drewno)</c:v>
                </c:pt>
              </c:strCache>
            </c:strRef>
          </c:tx>
          <c:spPr>
            <a:solidFill>
              <a:schemeClr val="accent2"/>
            </a:solidFill>
            <a:ln>
              <a:noFill/>
            </a:ln>
            <a:effectLst/>
          </c:spPr>
          <c:invertIfNegative val="0"/>
          <c:cat>
            <c:strRef>
              <c:f>'[indicators - results v3 wykresy.xls]2016'!$J$42:$O$42</c:f>
              <c:strCache>
                <c:ptCount val="5"/>
                <c:pt idx="0">
                  <c:v>LIHC</c:v>
                </c:pt>
                <c:pt idx="1">
                  <c:v>22%</c:v>
                </c:pt>
                <c:pt idx="2">
                  <c:v>2M</c:v>
                </c:pt>
                <c:pt idx="3">
                  <c:v>LEAK</c:v>
                </c:pt>
                <c:pt idx="4">
                  <c:v>THERMAL</c:v>
                </c:pt>
              </c:strCache>
            </c:strRef>
          </c:cat>
          <c:val>
            <c:numRef>
              <c:f>'[indicators - results v3 wykresy.xls]2016'!$J$44:$O$44</c:f>
              <c:numCache>
                <c:formatCode>0</c:formatCode>
                <c:ptCount val="5"/>
                <c:pt idx="0">
                  <c:v>14.4524946028691</c:v>
                </c:pt>
                <c:pt idx="1">
                  <c:v>13.43555591512772</c:v>
                </c:pt>
                <c:pt idx="2">
                  <c:v>24.448559416698249</c:v>
                </c:pt>
                <c:pt idx="3">
                  <c:v>28.84275010254904</c:v>
                </c:pt>
                <c:pt idx="4">
                  <c:v>29.429124777692149</c:v>
                </c:pt>
              </c:numCache>
            </c:numRef>
          </c:val>
        </c:ser>
        <c:ser>
          <c:idx val="2"/>
          <c:order val="2"/>
          <c:tx>
            <c:strRef>
              <c:f>'[indicators - results v3 wykresy.xls]2016'!$R$35</c:f>
              <c:strCache>
                <c:ptCount val="1"/>
                <c:pt idx="0">
                  <c:v>piece elektryczne (gazowe)</c:v>
                </c:pt>
              </c:strCache>
            </c:strRef>
          </c:tx>
          <c:spPr>
            <a:solidFill>
              <a:schemeClr val="accent2">
                <a:tint val="65000"/>
              </a:schemeClr>
            </a:solidFill>
            <a:ln>
              <a:noFill/>
            </a:ln>
            <a:effectLst/>
          </c:spPr>
          <c:invertIfNegative val="0"/>
          <c:cat>
            <c:strRef>
              <c:f>'[indicators - results v3 wykresy.xls]2016'!$J$42:$O$42</c:f>
              <c:strCache>
                <c:ptCount val="5"/>
                <c:pt idx="0">
                  <c:v>LIHC</c:v>
                </c:pt>
                <c:pt idx="1">
                  <c:v>22%</c:v>
                </c:pt>
                <c:pt idx="2">
                  <c:v>2M</c:v>
                </c:pt>
                <c:pt idx="3">
                  <c:v>LEAK</c:v>
                </c:pt>
                <c:pt idx="4">
                  <c:v>THERMAL</c:v>
                </c:pt>
              </c:strCache>
            </c:strRef>
          </c:cat>
          <c:val>
            <c:numRef>
              <c:f>'[indicators - results v3 wykresy.xls]2016'!$J$45:$O$45</c:f>
              <c:numCache>
                <c:formatCode>0</c:formatCode>
                <c:ptCount val="5"/>
                <c:pt idx="0">
                  <c:v>9.6701776460510409</c:v>
                </c:pt>
                <c:pt idx="1">
                  <c:v>6.4490164214568466</c:v>
                </c:pt>
                <c:pt idx="2">
                  <c:v>23.118585623524471</c:v>
                </c:pt>
                <c:pt idx="3">
                  <c:v>13.649444835682029</c:v>
                </c:pt>
                <c:pt idx="4">
                  <c:v>22.913467074908269</c:v>
                </c:pt>
              </c:numCache>
            </c:numRef>
          </c:val>
        </c:ser>
        <c:dLbls>
          <c:showLegendKey val="0"/>
          <c:showVal val="0"/>
          <c:showCatName val="0"/>
          <c:showSerName val="0"/>
          <c:showPercent val="0"/>
          <c:showBubbleSize val="0"/>
        </c:dLbls>
        <c:gapWidth val="219"/>
        <c:overlap val="-27"/>
        <c:axId val="347418832"/>
        <c:axId val="347419224"/>
      </c:barChart>
      <c:catAx>
        <c:axId val="347418832"/>
        <c:scaling>
          <c:orientation val="minMax"/>
        </c:scaling>
        <c:delete val="0"/>
        <c:axPos val="b"/>
        <c:numFmt formatCode="General" sourceLinked="1"/>
        <c:majorTickMark val="none"/>
        <c:minorTickMark val="none"/>
        <c:tickLblPos val="nextTo"/>
        <c:spPr>
          <a:noFill/>
          <a:ln w="3175" cap="flat" cmpd="sng" algn="ctr">
            <a:solidFill>
              <a:srgbClr val="C0C0C0"/>
            </a:solidFill>
            <a:prstDash val="solid"/>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charset="0"/>
                <a:ea typeface="Arial" charset="0"/>
                <a:cs typeface="Arial" charset="0"/>
              </a:defRPr>
            </a:pPr>
            <a:endParaRPr lang="pl-PL"/>
          </a:p>
        </c:txPr>
        <c:crossAx val="347419224"/>
        <c:crosses val="autoZero"/>
        <c:auto val="1"/>
        <c:lblAlgn val="ctr"/>
        <c:lblOffset val="100"/>
        <c:noMultiLvlLbl val="0"/>
      </c:catAx>
      <c:valAx>
        <c:axId val="347419224"/>
        <c:scaling>
          <c:orientation val="minMax"/>
        </c:scaling>
        <c:delete val="0"/>
        <c:axPos val="l"/>
        <c:numFmt formatCode="0" sourceLinked="1"/>
        <c:majorTickMark val="none"/>
        <c:minorTickMark val="none"/>
        <c:tickLblPos val="nextTo"/>
        <c:spPr>
          <a:noFill/>
          <a:ln w="6350" cap="flat" cmpd="sng" algn="ctr">
            <a:noFill/>
            <a:prstDash val="solid"/>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charset="0"/>
                <a:ea typeface="Arial" charset="0"/>
                <a:cs typeface="Arial" charset="0"/>
              </a:defRPr>
            </a:pPr>
            <a:endParaRPr lang="pl-PL"/>
          </a:p>
        </c:txPr>
        <c:crossAx val="347418832"/>
        <c:crosses val="autoZero"/>
        <c:crossBetween val="between"/>
      </c:valAx>
      <c:spPr>
        <a:noFill/>
        <a:ln w="25400">
          <a:noFill/>
        </a:ln>
        <a:effectLst/>
      </c:spPr>
    </c:plotArea>
    <c:legend>
      <c:legendPos val="r"/>
      <c:layout>
        <c:manualLayout>
          <c:xMode val="edge"/>
          <c:yMode val="edge"/>
          <c:x val="0.77780205599300101"/>
          <c:y val="0.185191017789443"/>
          <c:w val="0.180561242344707"/>
          <c:h val="0.58798155438903499"/>
        </c:manualLayout>
      </c:layout>
      <c:overlay val="0"/>
      <c:spPr>
        <a:noFill/>
        <a:ln w="25400">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charset="0"/>
              <a:ea typeface="Arial" charset="0"/>
              <a:cs typeface="Arial" charset="0"/>
            </a:defRPr>
          </a:pPr>
          <a:endParaRPr lang="pl-PL"/>
        </a:p>
      </c:txPr>
    </c:legend>
    <c:plotVisOnly val="1"/>
    <c:dispBlanksAs val="gap"/>
    <c:showDLblsOverMax val="0"/>
  </c:chart>
  <c:spPr>
    <a:solidFill>
      <a:srgbClr val="FFFFFF"/>
    </a:solidFill>
    <a:ln w="3175" cap="flat" cmpd="sng" algn="ctr">
      <a:noFill/>
      <a:prstDash val="solid"/>
      <a:round/>
    </a:ln>
    <a:effectLst/>
  </c:spPr>
  <c:txPr>
    <a:bodyPr/>
    <a:lstStyle/>
    <a:p>
      <a:pPr>
        <a:defRPr/>
      </a:pPr>
      <a:endParaRPr lang="pl-PL"/>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C7A83B-A29F-42DA-841B-74A1B98C04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44</Pages>
  <Words>11099</Words>
  <Characters>66600</Characters>
  <Application>Microsoft Office Word</Application>
  <DocSecurity>4</DocSecurity>
  <Lines>555</Lines>
  <Paragraphs>155</Paragraphs>
  <ScaleCrop>false</ScaleCrop>
  <HeadingPairs>
    <vt:vector size="2" baseType="variant">
      <vt:variant>
        <vt:lpstr>Tytuł</vt:lpstr>
      </vt:variant>
      <vt:variant>
        <vt:i4>1</vt:i4>
      </vt:variant>
    </vt:vector>
  </HeadingPairs>
  <TitlesOfParts>
    <vt:vector size="1" baseType="lpstr">
      <vt:lpstr/>
    </vt:vector>
  </TitlesOfParts>
  <Company>Ernst &amp; Young</Company>
  <LinksUpToDate>false</LinksUpToDate>
  <CharactersWithSpaces>77544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Agnieszka Zyga</dc:creator>
  <cp:lastModifiedBy>Graczyk Mariusz</cp:lastModifiedBy>
  <cp:revision>2</cp:revision>
  <cp:lastPrinted>2018-10-22T19:58:00Z</cp:lastPrinted>
  <dcterms:created xsi:type="dcterms:W3CDTF">2019-07-24T11:55:00Z</dcterms:created>
  <dcterms:modified xsi:type="dcterms:W3CDTF">2019-07-24T11:55:00Z</dcterms:modified>
</cp:coreProperties>
</file>